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D14B316">
      <w:pPr>
        <w:pStyle w:val="4"/>
        <w:keepNext w:val="0"/>
        <w:keepLines w:val="0"/>
        <w:widowControl/>
        <w:suppressLineNumbers w:val="0"/>
      </w:pPr>
      <w:r>
        <w:t>中华人民共和国环境保护税法</w:t>
      </w:r>
    </w:p>
    <w:p w14:paraId="1652DD71">
      <w:pPr>
        <w:pStyle w:val="9"/>
        <w:keepNext w:val="0"/>
        <w:keepLines w:val="0"/>
        <w:widowControl/>
        <w:suppressLineNumbers w:val="0"/>
        <w:spacing w:before="0" w:beforeAutospacing="1" w:after="0" w:afterAutospacing="1"/>
        <w:ind w:left="0" w:right="0"/>
        <w:jc w:val="left"/>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字体：</w:t>
      </w:r>
      <w:r>
        <w:rPr>
          <w:vanish/>
        </w:rPr>
        <w:t>【大】【中】【小】</w:t>
      </w:r>
    </w:p>
    <w:p w14:paraId="28FA74DF">
      <w:pPr>
        <w:pStyle w:val="14"/>
        <w:keepNext w:val="0"/>
        <w:keepLines w:val="0"/>
        <w:widowControl/>
        <w:suppressLineNumbers w:val="0"/>
        <w:spacing w:before="0" w:beforeAutospacing="1" w:after="0" w:afterAutospacing="1"/>
        <w:ind w:left="100" w:right="0"/>
        <w:jc w:val="left"/>
        <w:rPr>
          <w:rFonts w:hint="eastAsia" w:ascii="微软雅黑" w:hAnsi="微软雅黑" w:eastAsia="微软雅黑" w:cs="微软雅黑"/>
          <w:color w:val="333333"/>
          <w:sz w:val="27"/>
          <w:szCs w:val="27"/>
        </w:rPr>
      </w:pPr>
      <w:r>
        <w:t>分享到：</w:t>
      </w:r>
    </w:p>
    <w:p w14:paraId="75354D52">
      <w:pPr>
        <w:keepNext w:val="0"/>
        <w:keepLines w:val="0"/>
        <w:widowControl/>
        <w:suppressLineNumbers w:val="0"/>
        <w:spacing w:before="20" w:beforeAutospacing="0"/>
        <w:jc w:val="left"/>
      </w:pPr>
      <w:r>
        <w:rPr>
          <w:rFonts w:ascii="宋体" w:hAnsi="宋体" w:eastAsia="宋体" w:cs="宋体"/>
          <w:sz w:val="24"/>
          <w:szCs w:val="24"/>
        </w:rPr>
        <w:fldChar w:fldCharType="begin"/>
      </w:r>
      <w:r>
        <w:rPr>
          <w:rFonts w:ascii="宋体" w:hAnsi="宋体" w:eastAsia="宋体" w:cs="宋体"/>
          <w:sz w:val="24"/>
          <w:szCs w:val="24"/>
        </w:rPr>
        <w:instrText xml:space="preserve"> HYPERLINK "javascript:;" </w:instrText>
      </w:r>
      <w:r>
        <w:rPr>
          <w:rFonts w:ascii="宋体" w:hAnsi="宋体" w:eastAsia="宋体" w:cs="宋体"/>
          <w:sz w:val="24"/>
          <w:szCs w:val="24"/>
        </w:rPr>
        <w:fldChar w:fldCharType="separate"/>
      </w:r>
    </w:p>
    <w:p w14:paraId="2DB14706">
      <w:pPr>
        <w:pStyle w:val="5"/>
        <w:keepNext w:val="0"/>
        <w:keepLines w:val="0"/>
        <w:widowControl/>
        <w:suppressLineNumbers w:val="0"/>
        <w:spacing w:before="20" w:beforeAutospacing="0"/>
        <w:jc w:val="left"/>
        <w:rPr>
          <w:vanish/>
        </w:rPr>
      </w:pPr>
      <w:r>
        <w:rPr>
          <w:rStyle w:val="13"/>
          <w:vanish/>
        </w:rPr>
        <w:t>微信扫一扫：分享</w:t>
      </w:r>
    </w:p>
    <w:p w14:paraId="616A368F">
      <w:pPr>
        <w:keepNext w:val="0"/>
        <w:keepLines w:val="0"/>
        <w:widowControl/>
        <w:suppressLineNumbers w:val="0"/>
        <w:spacing w:before="20" w:beforeAutospacing="0"/>
        <w:jc w:val="left"/>
        <w:rPr>
          <w:vanish/>
        </w:rPr>
      </w:pPr>
      <w:r>
        <w:rPr>
          <w:rStyle w:val="13"/>
          <w:rFonts w:ascii="宋体" w:hAnsi="宋体" w:eastAsia="宋体" w:cs="宋体"/>
          <w:vanish/>
          <w:sz w:val="24"/>
          <w:szCs w:val="24"/>
        </w:rPr>
        <w:drawing>
          <wp:inline distT="0" distB="0" distL="114300" distR="114300">
            <wp:extent cx="952500" cy="9525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952500" cy="952500"/>
                    </a:xfrm>
                    <a:prstGeom prst="rect">
                      <a:avLst/>
                    </a:prstGeom>
                    <a:noFill/>
                    <a:ln w="9525">
                      <a:noFill/>
                    </a:ln>
                  </pic:spPr>
                </pic:pic>
              </a:graphicData>
            </a:graphic>
          </wp:inline>
        </w:drawing>
      </w:r>
    </w:p>
    <w:p w14:paraId="58D55547">
      <w:pPr>
        <w:pStyle w:val="9"/>
        <w:keepNext w:val="0"/>
        <w:keepLines w:val="0"/>
        <w:widowControl/>
        <w:suppressLineNumbers w:val="0"/>
        <w:spacing w:before="20" w:beforeAutospacing="0"/>
        <w:jc w:val="left"/>
        <w:rPr>
          <w:vanish/>
        </w:rPr>
      </w:pPr>
      <w:r>
        <w:rPr>
          <w:rStyle w:val="13"/>
          <w:vanish/>
        </w:rPr>
        <w:t>扫一扫，分享给好友或朋友圈</w:t>
      </w:r>
    </w:p>
    <w:p w14:paraId="74A6EA1D">
      <w:pPr>
        <w:keepNext w:val="0"/>
        <w:keepLines w:val="0"/>
        <w:widowControl/>
        <w:suppressLineNumbers w:val="0"/>
        <w:spacing w:before="20" w:beforeAutospacing="0"/>
        <w:jc w:val="left"/>
      </w:pPr>
      <w:r>
        <w:rPr>
          <w:rFonts w:ascii="宋体" w:hAnsi="宋体" w:eastAsia="宋体" w:cs="宋体"/>
          <w:sz w:val="24"/>
          <w:szCs w:val="24"/>
        </w:rPr>
        <w:fldChar w:fldCharType="end"/>
      </w:r>
      <w:r>
        <w:rPr>
          <w:rFonts w:ascii="宋体" w:hAnsi="宋体" w:eastAsia="宋体" w:cs="宋体"/>
          <w:sz w:val="24"/>
          <w:szCs w:val="24"/>
        </w:rPr>
        <w:fldChar w:fldCharType="begin"/>
      </w:r>
      <w:r>
        <w:rPr>
          <w:rFonts w:ascii="宋体" w:hAnsi="宋体" w:eastAsia="宋体" w:cs="宋体"/>
          <w:sz w:val="24"/>
          <w:szCs w:val="24"/>
        </w:rPr>
        <w:instrText xml:space="preserve"> HYPERLINK "https://service.weibo.com/share/share.php?url=https://fgk.chinatax.gov.cn/zcfgk/c100009/c5193032/content.html&amp;title=%E5%9B%BD%E5%AE%B6%E7%A8%8E%E5%8A%A1%E6%80%BB%E5%B1%80%E6%94%BF%E7%AD%96%E6%B3%95%E8%A7%84%E5%BA%93&amp;pic=https://fgk.chinatax.gov.cn/zcfgk/xhtml/images/ENbox_sy.png&amp;appkey=" \t "_blank" </w:instrText>
      </w:r>
      <w:r>
        <w:rPr>
          <w:rFonts w:ascii="宋体" w:hAnsi="宋体" w:eastAsia="宋体" w:cs="宋体"/>
          <w:sz w:val="24"/>
          <w:szCs w:val="24"/>
        </w:rPr>
        <w:fldChar w:fldCharType="separate"/>
      </w:r>
      <w:r>
        <w:rPr>
          <w:rFonts w:ascii="宋体" w:hAnsi="宋体" w:eastAsia="宋体" w:cs="宋体"/>
          <w:sz w:val="24"/>
          <w:szCs w:val="24"/>
        </w:rPr>
        <w:fldChar w:fldCharType="end"/>
      </w:r>
    </w:p>
    <w:p w14:paraId="4DDC1B81">
      <w:pPr>
        <w:pStyle w:val="9"/>
        <w:keepNext w:val="0"/>
        <w:keepLines w:val="0"/>
        <w:widowControl/>
        <w:suppressLineNumbers w:val="0"/>
        <w:spacing w:before="0" w:beforeAutospacing="1" w:after="0" w:afterAutospacing="1"/>
        <w:ind w:left="0" w:right="0"/>
        <w:jc w:val="left"/>
        <w:rPr>
          <w:rFonts w:hint="eastAsia" w:ascii="微软雅黑" w:hAnsi="微软雅黑" w:eastAsia="微软雅黑" w:cs="微软雅黑"/>
          <w:vanish/>
          <w:color w:val="333333"/>
          <w:sz w:val="27"/>
          <w:szCs w:val="27"/>
        </w:rPr>
      </w:pPr>
      <w:r>
        <w:rPr>
          <w:vanish/>
        </w:rPr>
        <w:t>收藏</w:t>
      </w:r>
      <w:r>
        <w:rPr>
          <w:rFonts w:hint="eastAsia" w:ascii="微软雅黑" w:hAnsi="微软雅黑" w:eastAsia="微软雅黑" w:cs="微软雅黑"/>
          <w:vanish/>
          <w:color w:val="333333"/>
          <w:sz w:val="27"/>
          <w:szCs w:val="27"/>
        </w:rPr>
        <w:t xml:space="preserve"> </w:t>
      </w:r>
      <w:r>
        <w:rPr>
          <w:vanish/>
        </w:rPr>
        <w:t>订阅</w:t>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13"/>
          <w:rFonts w:hint="eastAsia" w:ascii="微软雅黑" w:hAnsi="微软雅黑" w:eastAsia="微软雅黑" w:cs="微软雅黑"/>
          <w:vanish/>
          <w:sz w:val="27"/>
          <w:szCs w:val="27"/>
        </w:rPr>
        <w:t>已推送，请在</w:t>
      </w:r>
      <w:r>
        <w:rPr>
          <w:rStyle w:val="13"/>
          <w:rFonts w:hint="eastAsia" w:ascii="微软雅黑" w:hAnsi="微软雅黑" w:eastAsia="微软雅黑" w:cs="微软雅黑"/>
          <w:vanish/>
          <w:color w:val="333333"/>
          <w:sz w:val="13"/>
          <w:szCs w:val="13"/>
        </w:rPr>
        <w:t>“个人中心-我的订阅”</w:t>
      </w:r>
      <w:r>
        <w:rPr>
          <w:rStyle w:val="13"/>
          <w:rFonts w:hint="eastAsia" w:ascii="微软雅黑" w:hAnsi="微软雅黑" w:eastAsia="微软雅黑" w:cs="微软雅黑"/>
          <w:vanish/>
          <w:sz w:val="27"/>
          <w:szCs w:val="27"/>
        </w:rPr>
        <w:t>中查看</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13"/>
          <w:rFonts w:hint="eastAsia" w:ascii="微软雅黑" w:hAnsi="微软雅黑" w:eastAsia="微软雅黑" w:cs="微软雅黑"/>
          <w:vanish/>
          <w:sz w:val="27"/>
          <w:szCs w:val="27"/>
        </w:rPr>
        <w:t>此稿件无标签，进入</w:t>
      </w:r>
      <w:r>
        <w:rPr>
          <w:rStyle w:val="13"/>
          <w:rFonts w:hint="eastAsia" w:ascii="微软雅黑" w:hAnsi="微软雅黑" w:eastAsia="微软雅黑" w:cs="微软雅黑"/>
          <w:vanish/>
          <w:color w:val="CC0000"/>
          <w:sz w:val="13"/>
          <w:szCs w:val="13"/>
        </w:rPr>
        <w:t>“订阅设置”</w:t>
      </w:r>
      <w:r>
        <w:rPr>
          <w:rStyle w:val="13"/>
          <w:rFonts w:hint="eastAsia" w:ascii="微软雅黑" w:hAnsi="微软雅黑" w:eastAsia="微软雅黑" w:cs="微软雅黑"/>
          <w:vanish/>
          <w:sz w:val="27"/>
          <w:szCs w:val="27"/>
        </w:rPr>
        <w:t>中订阅更多</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p>
    <w:p w14:paraId="5451BCB1">
      <w:pPr>
        <w:pStyle w:val="17"/>
        <w:keepNext w:val="0"/>
        <w:keepLines w:val="0"/>
        <w:widowControl/>
        <w:suppressLineNumbers w:val="0"/>
        <w:spacing w:after="0" w:afterAutospacing="1"/>
        <w:ind w:left="0" w:right="0"/>
        <w:rPr>
          <w:rFonts w:hint="eastAsia" w:ascii="微软雅黑" w:hAnsi="微软雅黑" w:eastAsia="微软雅黑" w:cs="微软雅黑"/>
          <w:color w:val="333333"/>
          <w:sz w:val="27"/>
          <w:szCs w:val="27"/>
        </w:rPr>
      </w:pPr>
      <w:r>
        <w:rPr>
          <w:rStyle w:val="25"/>
          <w:color w:val="35569D"/>
        </w:rPr>
        <w:t>全文有效</w:t>
      </w:r>
      <w:r>
        <w:rPr>
          <w:rFonts w:hint="eastAsia" w:ascii="微软雅黑" w:hAnsi="微软雅黑" w:eastAsia="微软雅黑" w:cs="微软雅黑"/>
          <w:color w:val="333333"/>
          <w:sz w:val="27"/>
          <w:szCs w:val="27"/>
        </w:rPr>
        <w:t> </w:t>
      </w:r>
      <w:r>
        <w:t>成文日期：2025-10-28</w:t>
      </w:r>
    </w:p>
    <w:p w14:paraId="7CD82EC1">
      <w:pPr>
        <w:pStyle w:val="9"/>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收藏</w:t>
      </w:r>
    </w:p>
    <w:p w14:paraId="444B5883">
      <w:pPr>
        <w:pStyle w:val="9"/>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分享</w:t>
      </w:r>
    </w:p>
    <w:p w14:paraId="1CB9CBA9">
      <w:pPr>
        <w:pStyle w:val="9"/>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订阅</w:t>
      </w:r>
    </w:p>
    <w:p w14:paraId="20E5A4A4">
      <w:pPr>
        <w:pStyle w:val="9"/>
        <w:keepNext w:val="0"/>
        <w:keepLines w:val="0"/>
        <w:widowControl/>
        <w:suppressLineNumbers w:val="0"/>
        <w:rPr>
          <w:vanish/>
        </w:rPr>
      </w:pPr>
      <w:r>
        <w:rPr>
          <w:vanish/>
        </w:rPr>
        <w:t>语音播报：</w:t>
      </w:r>
    </w:p>
    <w:p w14:paraId="7507415D">
      <w:pPr>
        <w:keepNext w:val="0"/>
        <w:keepLines w:val="0"/>
        <w:widowControl/>
        <w:suppressLineNumbers w:val="0"/>
        <w:ind w:left="720"/>
        <w:jc w:val="left"/>
        <w:rPr>
          <w:rFonts w:hint="eastAsia" w:ascii="宋体" w:hAnsi="宋体" w:eastAsia="宋体" w:cs="宋体"/>
          <w:vanish/>
          <w:sz w:val="24"/>
          <w:szCs w:val="24"/>
        </w:rPr>
      </w:pPr>
      <w:r>
        <w:rPr>
          <w:rFonts w:hint="eastAsia" w:ascii="宋体" w:hAnsi="宋体" w:eastAsia="宋体" w:cs="宋体"/>
          <w:vanish/>
          <w:sz w:val="24"/>
          <w:szCs w:val="24"/>
        </w:rPr>
        <w:t>扫一扫在手机打开当前页</w:t>
      </w:r>
    </w:p>
    <w:p w14:paraId="303EA64F">
      <w:pPr>
        <w:pStyle w:val="21"/>
        <w:keepNext w:val="0"/>
        <w:keepLines w:val="0"/>
        <w:widowControl/>
        <w:suppressLineNumbers w:val="0"/>
        <w:spacing w:before="0" w:beforeAutospacing="1" w:after="0" w:afterAutospacing="1"/>
        <w:ind w:left="0" w:right="0"/>
        <w:rPr>
          <w:rFonts w:hint="eastAsia" w:ascii="微软雅黑" w:hAnsi="微软雅黑" w:eastAsia="微软雅黑" w:cs="微软雅黑"/>
        </w:rPr>
      </w:pPr>
      <w:r>
        <w:rPr>
          <w:rFonts w:hint="eastAsia" w:ascii="微软雅黑" w:hAnsi="微软雅黑" w:eastAsia="微软雅黑" w:cs="微软雅黑"/>
        </w:rPr>
        <w:t>注释</w:t>
      </w:r>
    </w:p>
    <w:p w14:paraId="441A2E1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line="400" w:lineRule="atLeast"/>
        <w:ind w:left="0" w:firstLine="300"/>
      </w:pPr>
      <w:r>
        <w:rPr>
          <w:bdr w:val="none" w:color="auto" w:sz="0" w:space="0"/>
          <w:shd w:val="clear" w:fill="EEEEEE"/>
        </w:rPr>
        <w:t>2016年12月25日第十二届全国人民代表大会常务委员会第二十五次会议通过　根据2018年10月26日第十三届全国人民代表大会常务委员会第六次会议《关于修改〈中华人民共和国野生动物保护法〉等十五部法律的决定》第一次修正　根据2025年10月28日第十四届全国人民代表大会常务委员会第十八次会议《关于修改〈中华人民共和国环境保护税法〉的决定》第二次修正</w:t>
      </w:r>
    </w:p>
    <w:p w14:paraId="13448AFA">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目　　录</w:t>
      </w:r>
    </w:p>
    <w:p w14:paraId="425278ED">
      <w:pPr>
        <w:pStyle w:val="9"/>
        <w:keepNext w:val="0"/>
        <w:keepLines w:val="0"/>
        <w:widowControl/>
        <w:suppressLineNumbers w:val="0"/>
        <w:ind w:left="0" w:firstLine="42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第一章　总　　则</w:t>
      </w:r>
    </w:p>
    <w:p w14:paraId="6623E270">
      <w:pPr>
        <w:pStyle w:val="9"/>
        <w:keepNext w:val="0"/>
        <w:keepLines w:val="0"/>
        <w:widowControl/>
        <w:suppressLineNumbers w:val="0"/>
        <w:ind w:left="0" w:firstLine="42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第二章　计税依据和应纳税额</w:t>
      </w:r>
    </w:p>
    <w:p w14:paraId="5CDDDE3B">
      <w:pPr>
        <w:pStyle w:val="9"/>
        <w:keepNext w:val="0"/>
        <w:keepLines w:val="0"/>
        <w:widowControl/>
        <w:suppressLineNumbers w:val="0"/>
        <w:ind w:left="0" w:firstLine="42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第三章　税收减免</w:t>
      </w:r>
    </w:p>
    <w:p w14:paraId="7259B477">
      <w:pPr>
        <w:pStyle w:val="9"/>
        <w:keepNext w:val="0"/>
        <w:keepLines w:val="0"/>
        <w:widowControl/>
        <w:suppressLineNumbers w:val="0"/>
        <w:ind w:left="0" w:firstLine="42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第四章　征收管理</w:t>
      </w:r>
    </w:p>
    <w:p w14:paraId="7F8B0ED2">
      <w:pPr>
        <w:pStyle w:val="9"/>
        <w:keepNext w:val="0"/>
        <w:keepLines w:val="0"/>
        <w:widowControl/>
        <w:suppressLineNumbers w:val="0"/>
        <w:ind w:left="0" w:firstLine="42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第五章　附　　则</w:t>
      </w:r>
    </w:p>
    <w:p w14:paraId="2997ADB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5D7E92F5">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第一章　总　　则</w:t>
      </w:r>
    </w:p>
    <w:p w14:paraId="463973E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74A410C4">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第一条</w:t>
      </w:r>
      <w:r>
        <w:rPr>
          <w:rFonts w:hint="eastAsia" w:ascii="微软雅黑" w:hAnsi="微软雅黑" w:eastAsia="微软雅黑" w:cs="微软雅黑"/>
          <w:color w:val="333333"/>
          <w:sz w:val="27"/>
          <w:szCs w:val="27"/>
        </w:rPr>
        <w:t>　为了保护和改善环境，减少污染物排放，推进生态文明建设，制定本法。</w:t>
      </w:r>
    </w:p>
    <w:p w14:paraId="1437104C">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第二条</w:t>
      </w:r>
      <w:r>
        <w:rPr>
          <w:rFonts w:hint="eastAsia" w:ascii="微软雅黑" w:hAnsi="微软雅黑" w:eastAsia="微软雅黑" w:cs="微软雅黑"/>
          <w:color w:val="333333"/>
          <w:sz w:val="27"/>
          <w:szCs w:val="27"/>
        </w:rPr>
        <w:t>　在中华人民共和国领域和中华人民共和国管辖的其他海域，直接向环境排放应税污染物的企业事业单位和其他生产经营者为环境保护税的纳税人，应当依照本法规定缴纳环境保护税。</w:t>
      </w:r>
    </w:p>
    <w:p w14:paraId="4F473A18">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第三条</w:t>
      </w:r>
      <w:r>
        <w:rPr>
          <w:rFonts w:hint="eastAsia" w:ascii="微软雅黑" w:hAnsi="微软雅黑" w:eastAsia="微软雅黑" w:cs="微软雅黑"/>
          <w:color w:val="333333"/>
          <w:sz w:val="27"/>
          <w:szCs w:val="27"/>
        </w:rPr>
        <w:t>　本法所称应税污染物，是指本法所附《环境保护税税目税额表》、《应税污染物和当量值表》规定的大气污染物、水污染物、固体废物和噪声。</w:t>
      </w:r>
    </w:p>
    <w:p w14:paraId="4DA7EF80">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第四条</w:t>
      </w:r>
      <w:r>
        <w:rPr>
          <w:rFonts w:hint="eastAsia" w:ascii="微软雅黑" w:hAnsi="微软雅黑" w:eastAsia="微软雅黑" w:cs="微软雅黑"/>
          <w:color w:val="333333"/>
          <w:sz w:val="27"/>
          <w:szCs w:val="27"/>
        </w:rPr>
        <w:t>　有下列情形之一的，不属于直接向环境排放污染物，不缴纳相应污染物的环境保护税：</w:t>
      </w:r>
    </w:p>
    <w:p w14:paraId="0DA2473A">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（一）企业事业单位和其他生产经营者向依法设立的污水集中处理、生活垃圾集中处理场所排放应税污染物的；</w:t>
      </w:r>
    </w:p>
    <w:p w14:paraId="14221609">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（二）企业事业单位和其他生产经营者在符合国家和地方环境保护标准的设施、场所贮存或者处置固体废物的。</w:t>
      </w:r>
    </w:p>
    <w:p w14:paraId="4090BADE">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第五条</w:t>
      </w:r>
      <w:r>
        <w:rPr>
          <w:rFonts w:hint="eastAsia" w:ascii="微软雅黑" w:hAnsi="微软雅黑" w:eastAsia="微软雅黑" w:cs="微软雅黑"/>
          <w:color w:val="333333"/>
          <w:sz w:val="27"/>
          <w:szCs w:val="27"/>
        </w:rPr>
        <w:t>　依法设立的城乡污水集中处理、生活垃圾集中处理场所超过国家和地方规定的排放标准向环境排放应税污染物的，应当缴纳环境保护税。</w:t>
      </w:r>
    </w:p>
    <w:p w14:paraId="10691298">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企业事业单位和其他生产经营者贮存或者处置固体废物不符合国家和地方环境保护标准的，应当缴纳环境保护税。</w:t>
      </w:r>
    </w:p>
    <w:p w14:paraId="28B8B1BD">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第六条</w:t>
      </w:r>
      <w:r>
        <w:rPr>
          <w:rFonts w:hint="eastAsia" w:ascii="微软雅黑" w:hAnsi="微软雅黑" w:eastAsia="微软雅黑" w:cs="微软雅黑"/>
          <w:color w:val="333333"/>
          <w:sz w:val="27"/>
          <w:szCs w:val="27"/>
        </w:rPr>
        <w:t>　环境保护税的税目、税额，依照本法所附《环境保护税税目税额表》执行。</w:t>
      </w:r>
    </w:p>
    <w:p w14:paraId="23035AC9">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应税大气污染物和水污染物的具体适用税额的确定和调整，由省、自治区、直辖市人民政府统筹考虑本地区环境承载能力、污染物排放现状和经济社会生态发展目标要求，在本法所附《环境保护税税目税额表》规定的税额幅度内提出，报同级人民代表大会常务委员会决定，并报全国人民代表大会常务委员会和国务院备案。</w:t>
      </w:r>
    </w:p>
    <w:p w14:paraId="445A499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0946FA4">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第二章　计税依据和应纳税额</w:t>
      </w:r>
    </w:p>
    <w:p w14:paraId="3F16375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2554F6C1">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第七条</w:t>
      </w:r>
      <w:r>
        <w:rPr>
          <w:rFonts w:hint="eastAsia" w:ascii="微软雅黑" w:hAnsi="微软雅黑" w:eastAsia="微软雅黑" w:cs="微软雅黑"/>
          <w:color w:val="333333"/>
          <w:sz w:val="27"/>
          <w:szCs w:val="27"/>
        </w:rPr>
        <w:t>　应税污染物的计税依据，按照下列方法确定：</w:t>
      </w:r>
    </w:p>
    <w:p w14:paraId="386C144E">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（一）应税大气污染物按照污染物排放量折合的污染当量数确定；</w:t>
      </w:r>
    </w:p>
    <w:p w14:paraId="0DCEFB6C">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（二）应税水污染物按照污染物排放量折合的污染当量数确定；</w:t>
      </w:r>
    </w:p>
    <w:p w14:paraId="6BCDE80A">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（三）应税固体废物按照固体废物的排放量确定；</w:t>
      </w:r>
    </w:p>
    <w:p w14:paraId="7423976A">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（四）应税噪声按照超过国家规定标准的分贝数确定。</w:t>
      </w:r>
    </w:p>
    <w:p w14:paraId="627A1B5F">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第八条</w:t>
      </w:r>
      <w:r>
        <w:rPr>
          <w:rFonts w:hint="eastAsia" w:ascii="微软雅黑" w:hAnsi="微软雅黑" w:eastAsia="微软雅黑" w:cs="微软雅黑"/>
          <w:color w:val="333333"/>
          <w:sz w:val="27"/>
          <w:szCs w:val="27"/>
        </w:rPr>
        <w:t>　应税大气污染物、水污染物的污染当量数，以该污染物的排放量除以该污染物的污染当量值计算。每种应税大气污染物、水污染物的具体污染当量值，依照本法所附《应税污染物和当量值表》执行。</w:t>
      </w:r>
    </w:p>
    <w:p w14:paraId="32EFD4BC">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第九条</w:t>
      </w:r>
      <w:r>
        <w:rPr>
          <w:rFonts w:hint="eastAsia" w:ascii="微软雅黑" w:hAnsi="微软雅黑" w:eastAsia="微软雅黑" w:cs="微软雅黑"/>
          <w:color w:val="333333"/>
          <w:sz w:val="27"/>
          <w:szCs w:val="27"/>
        </w:rPr>
        <w:t>　每一排放口或者没有排放口的应税大气污染物，按照污染当量数从大到小排序，对前三项污染物征收环境保护税。</w:t>
      </w:r>
    </w:p>
    <w:p w14:paraId="23528103">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一排放口的应税水污染物，按照本法所附《应税污染物和当量值表》，区分第一类水污染物和其他类水污染物，按照污染当量数从大到小排序，对第一类水污染物按照前五项征收环境保护税，对其他类水污染物按照前三项征收环境保护税。</w:t>
      </w:r>
    </w:p>
    <w:p w14:paraId="5B575F8C">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省、自治区、直辖市人民政府根据本地区污染物减排的特殊需要，可以增加同一排放口征收环境保护税的应税污染物项目数，报同级人民代表大会常务委员会决定，并报全国人民代表大会常务委员会和国务院备案。</w:t>
      </w:r>
    </w:p>
    <w:p w14:paraId="1E132BA9">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第十条</w:t>
      </w:r>
      <w:r>
        <w:rPr>
          <w:rFonts w:hint="eastAsia" w:ascii="微软雅黑" w:hAnsi="微软雅黑" w:eastAsia="微软雅黑" w:cs="微软雅黑"/>
          <w:color w:val="333333"/>
          <w:sz w:val="27"/>
          <w:szCs w:val="27"/>
        </w:rPr>
        <w:t>　应税大气污染物、水污染物、固体废物的排放量和噪声的分贝数，按照下列方法和顺序计算：</w:t>
      </w:r>
    </w:p>
    <w:p w14:paraId="521D7558">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（一）纳税人安装使用符合国家规定和监测规范的污染物自动监测设备的，按照污染物自动监测数据计算；</w:t>
      </w:r>
    </w:p>
    <w:p w14:paraId="55A9F360">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（二）纳税人未安装使用污染物自动监测设备的，按照监测机构出具的符合国家有关规定和监测规范的监测数据计算；</w:t>
      </w:r>
    </w:p>
    <w:p w14:paraId="1A73A8B7">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（三）因排放污染物种类多等原因不具备监测条件的，按照国务院生态环境主管部门规定的排污系数、物料衡算方法计算；</w:t>
      </w:r>
    </w:p>
    <w:p w14:paraId="7AF572AC">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（四）不能按照本条第一项至第三项规定的方法计算的，按照省、自治区、直辖市人民政府生态环境主管部门规定的抽样测算的方法核定计算。</w:t>
      </w:r>
    </w:p>
    <w:p w14:paraId="23129586">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第十一条</w:t>
      </w:r>
      <w:r>
        <w:rPr>
          <w:rFonts w:hint="eastAsia" w:ascii="微软雅黑" w:hAnsi="微软雅黑" w:eastAsia="微软雅黑" w:cs="微软雅黑"/>
          <w:color w:val="333333"/>
          <w:sz w:val="27"/>
          <w:szCs w:val="27"/>
        </w:rPr>
        <w:t>　环境保护税应纳税额按照下列方法计算：</w:t>
      </w:r>
    </w:p>
    <w:p w14:paraId="0B477F15">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（一）应税大气污染物的应纳税额为污染当量数乘以具体适用税额；</w:t>
      </w:r>
    </w:p>
    <w:p w14:paraId="311EF2BC">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（二）应税水污染物的应纳税额为污染当量数乘以具体适用税额；</w:t>
      </w:r>
    </w:p>
    <w:p w14:paraId="47F5754E">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（三）应税固体废物的应纳税额为固体废物排放量乘以具体适用税额；</w:t>
      </w:r>
    </w:p>
    <w:p w14:paraId="4235F8FF">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（四）应税噪声的应纳税额为超过国家规定标准的分贝数对应的具体适用税额。</w:t>
      </w:r>
    </w:p>
    <w:p w14:paraId="7C4B30D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414BCAB2">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第三章　税收减免</w:t>
      </w:r>
    </w:p>
    <w:p w14:paraId="388C1F3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57766632">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第十二条</w:t>
      </w:r>
      <w:r>
        <w:rPr>
          <w:rFonts w:hint="eastAsia" w:ascii="微软雅黑" w:hAnsi="微软雅黑" w:eastAsia="微软雅黑" w:cs="微软雅黑"/>
          <w:color w:val="333333"/>
          <w:sz w:val="27"/>
          <w:szCs w:val="27"/>
        </w:rPr>
        <w:t>　下列情形，暂予免征环境保护税：</w:t>
      </w:r>
    </w:p>
    <w:p w14:paraId="6163F348">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（一）农业生产（不包括规模化养殖）排放应税污染物的；</w:t>
      </w:r>
    </w:p>
    <w:p w14:paraId="4A5117F9">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（二）机动车、铁路机车、非道路移动机械、船舶和航空器等流动污染源排放应税污染物的；</w:t>
      </w:r>
    </w:p>
    <w:p w14:paraId="1A7FD052">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（三）依法设立的城乡污水集中处理、生活垃圾集中处理场所排放相应应税污染物，不超过国家和地方规定的排放标准的；</w:t>
      </w:r>
    </w:p>
    <w:p w14:paraId="5512DEE9">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（四）纳税人综合利用的固体废物，符合国家和地方环境保护标准的；</w:t>
      </w:r>
    </w:p>
    <w:p w14:paraId="02885FF2">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（五）国务院批准免税的其他情形。</w:t>
      </w:r>
    </w:p>
    <w:p w14:paraId="71F8BBC7">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前款第五项免税规定，由国务院报全国人民代表大会常务委员会备案。</w:t>
      </w:r>
    </w:p>
    <w:p w14:paraId="755432D4">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第十三条</w:t>
      </w:r>
      <w:r>
        <w:rPr>
          <w:rFonts w:hint="eastAsia" w:ascii="微软雅黑" w:hAnsi="微软雅黑" w:eastAsia="微软雅黑" w:cs="微软雅黑"/>
          <w:color w:val="333333"/>
          <w:sz w:val="27"/>
          <w:szCs w:val="27"/>
        </w:rPr>
        <w:t>　纳税人排放应税大气污染物或者水污染物的浓度值低于国家和地方规定的污染物排放标准百分之三十的，减按百分之七十五征收环境保护税。纳税人排放应税大气污染物或者水污染物的浓度值低于国家和地方规定的污染物排放标准百分之五十的，减按百分之五十征收环境保护税。</w:t>
      </w:r>
    </w:p>
    <w:p w14:paraId="203E59C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2C4B3D1C">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第四章　征收管理</w:t>
      </w:r>
    </w:p>
    <w:p w14:paraId="13D7FB2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C9C1CEA">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第十四条</w:t>
      </w:r>
      <w:r>
        <w:rPr>
          <w:rFonts w:hint="eastAsia" w:ascii="微软雅黑" w:hAnsi="微软雅黑" w:eastAsia="微软雅黑" w:cs="微软雅黑"/>
          <w:color w:val="333333"/>
          <w:sz w:val="27"/>
          <w:szCs w:val="27"/>
        </w:rPr>
        <w:t>　环境保护税由税务机关依照</w:t>
      </w:r>
      <w:r>
        <w:rPr>
          <w:rFonts w:hint="eastAsia" w:ascii="微软雅黑" w:hAnsi="微软雅黑" w:eastAsia="微软雅黑" w:cs="微软雅黑"/>
          <w:sz w:val="27"/>
          <w:szCs w:val="27"/>
        </w:rPr>
        <w:fldChar w:fldCharType="begin"/>
      </w:r>
      <w:r>
        <w:rPr>
          <w:rFonts w:hint="eastAsia" w:ascii="微软雅黑" w:hAnsi="微软雅黑" w:eastAsia="微软雅黑" w:cs="微软雅黑"/>
          <w:sz w:val="27"/>
          <w:szCs w:val="27"/>
        </w:rPr>
        <w:instrText xml:space="preserve"> HYPERLINK "https://fgk.chinatax.gov.cn/zcfgk/c100009/c5195081/content.html" \t "_blank" </w:instrText>
      </w:r>
      <w:r>
        <w:rPr>
          <w:rFonts w:hint="eastAsia" w:ascii="微软雅黑" w:hAnsi="微软雅黑" w:eastAsia="微软雅黑" w:cs="微软雅黑"/>
          <w:sz w:val="27"/>
          <w:szCs w:val="27"/>
        </w:rPr>
        <w:fldChar w:fldCharType="separate"/>
      </w:r>
      <w:r>
        <w:rPr>
          <w:rStyle w:val="13"/>
          <w:rFonts w:hint="eastAsia" w:ascii="微软雅黑" w:hAnsi="微软雅黑" w:eastAsia="微软雅黑" w:cs="微软雅黑"/>
          <w:sz w:val="27"/>
          <w:szCs w:val="27"/>
        </w:rPr>
        <w:t>《中华人民共和国税收征收管理法》</w:t>
      </w:r>
      <w:r>
        <w:rPr>
          <w:rFonts w:hint="eastAsia" w:ascii="微软雅黑" w:hAnsi="微软雅黑" w:eastAsia="微软雅黑" w:cs="微软雅黑"/>
          <w:sz w:val="27"/>
          <w:szCs w:val="27"/>
        </w:rPr>
        <w:fldChar w:fldCharType="end"/>
      </w:r>
      <w:r>
        <w:rPr>
          <w:rFonts w:hint="eastAsia" w:ascii="微软雅黑" w:hAnsi="微软雅黑" w:eastAsia="微软雅黑" w:cs="微软雅黑"/>
          <w:color w:val="333333"/>
          <w:sz w:val="27"/>
          <w:szCs w:val="27"/>
        </w:rPr>
        <w:t>和本法的有关规定征收管理。</w:t>
      </w:r>
    </w:p>
    <w:p w14:paraId="747E1435">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生态环境主管部门依照本法和有关环境保护法律法规的规定负责对污染物的监测管理。</w:t>
      </w:r>
    </w:p>
    <w:p w14:paraId="7ED90809">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县级以上地方人民政府应当建立税务机关、生态环境主管部门和其他相关单位分工协作工作机制，加强环境保护税征收管理，保障税款及时足额入库。</w:t>
      </w:r>
    </w:p>
    <w:p w14:paraId="19DD77C9">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第十五条</w:t>
      </w:r>
      <w:r>
        <w:rPr>
          <w:rFonts w:hint="eastAsia" w:ascii="微软雅黑" w:hAnsi="微软雅黑" w:eastAsia="微软雅黑" w:cs="微软雅黑"/>
          <w:color w:val="333333"/>
          <w:sz w:val="27"/>
          <w:szCs w:val="27"/>
        </w:rPr>
        <w:t>　生态环境主管部门和税务机关应当建立涉税信息共享平台和工作配合机制。</w:t>
      </w:r>
    </w:p>
    <w:p w14:paraId="69FBC0B5">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生态环境主管部门应当将排污单位的排污许可、污染物排放数据、环境违法和受行政处罚情况等环境保护相关信息，定期交送税务机关。</w:t>
      </w:r>
    </w:p>
    <w:p w14:paraId="7A4DA253">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税务机关应当将纳税人的纳税申报、税款入库、减免税额、欠缴税款以及风险疑点等环境保护税涉税信息，定期交送生态环境主管部门。</w:t>
      </w:r>
    </w:p>
    <w:p w14:paraId="34B3E211">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第十六条</w:t>
      </w:r>
      <w:r>
        <w:rPr>
          <w:rFonts w:hint="eastAsia" w:ascii="微软雅黑" w:hAnsi="微软雅黑" w:eastAsia="微软雅黑" w:cs="微软雅黑"/>
          <w:color w:val="333333"/>
          <w:sz w:val="27"/>
          <w:szCs w:val="27"/>
        </w:rPr>
        <w:t>　纳税义务发生时间为纳税人排放应税污染物的当日。</w:t>
      </w:r>
    </w:p>
    <w:p w14:paraId="7FCA40AE">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第十七条</w:t>
      </w:r>
      <w:r>
        <w:rPr>
          <w:rFonts w:hint="eastAsia" w:ascii="微软雅黑" w:hAnsi="微软雅黑" w:eastAsia="微软雅黑" w:cs="微软雅黑"/>
          <w:color w:val="333333"/>
          <w:sz w:val="27"/>
          <w:szCs w:val="27"/>
        </w:rPr>
        <w:t>　纳税人应当向应税污染物排放地的税务机关申报缴纳环境保护税。</w:t>
      </w:r>
    </w:p>
    <w:p w14:paraId="66BCFF03">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第十八条</w:t>
      </w:r>
      <w:r>
        <w:rPr>
          <w:rFonts w:hint="eastAsia" w:ascii="微软雅黑" w:hAnsi="微软雅黑" w:eastAsia="微软雅黑" w:cs="微软雅黑"/>
          <w:color w:val="333333"/>
          <w:sz w:val="27"/>
          <w:szCs w:val="27"/>
        </w:rPr>
        <w:t>　环境保护税按月计算，按季申报缴纳。不能按固定期限计算缴纳的，可以按次申报缴纳。</w:t>
      </w:r>
    </w:p>
    <w:p w14:paraId="0FE2927F">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纳税人申报缴纳时，应当向税务机关报送所排放应税污染物的种类、数量，大气污染物、水污染物的浓度值，以及税务机关根据实际需要要求纳税人报送的其他纳税资料。</w:t>
      </w:r>
    </w:p>
    <w:p w14:paraId="52323495">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第十九条</w:t>
      </w:r>
      <w:r>
        <w:rPr>
          <w:rFonts w:hint="eastAsia" w:ascii="微软雅黑" w:hAnsi="微软雅黑" w:eastAsia="微软雅黑" w:cs="微软雅黑"/>
          <w:color w:val="333333"/>
          <w:sz w:val="27"/>
          <w:szCs w:val="27"/>
        </w:rPr>
        <w:t>　纳税人按季申报缴纳的，应当自季度终了之日起十五日内，向税务机关办理纳税申报并缴纳税款。纳税人按次申报缴纳的，应当自纳税义务发生之日起十五日内，向税务机关办理纳税申报并缴纳税款。</w:t>
      </w:r>
    </w:p>
    <w:p w14:paraId="6CFD85CC">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纳税人应当依法如实办理纳税申报，对申报的真实性和完整性承担责任。</w:t>
      </w:r>
    </w:p>
    <w:p w14:paraId="1F10CC73">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第二十条</w:t>
      </w:r>
      <w:r>
        <w:rPr>
          <w:rFonts w:hint="eastAsia" w:ascii="微软雅黑" w:hAnsi="微软雅黑" w:eastAsia="微软雅黑" w:cs="微软雅黑"/>
          <w:color w:val="333333"/>
          <w:sz w:val="27"/>
          <w:szCs w:val="27"/>
        </w:rPr>
        <w:t>　税务机关应当将纳税人的纳税申报数据资料与生态环境主管部门交送的相关数据资料进行比对。</w:t>
      </w:r>
    </w:p>
    <w:p w14:paraId="6079D17D">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税务机关发现纳税人的纳税申报数据资料异常或者纳税人未按照规定期限办理纳税申报的，可以提请生态环境主管部门进行复核，生态环境主管部门应当自收到税务机关的数据资料之日起十五日内向税务机关出具复核意见。税务机关应当按照生态环境主管部门复核的数据资料调整纳税人的应纳税额。</w:t>
      </w:r>
    </w:p>
    <w:p w14:paraId="2CF9BE24">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第二十一条</w:t>
      </w:r>
      <w:r>
        <w:rPr>
          <w:rFonts w:hint="eastAsia" w:ascii="微软雅黑" w:hAnsi="微软雅黑" w:eastAsia="微软雅黑" w:cs="微软雅黑"/>
          <w:color w:val="333333"/>
          <w:sz w:val="27"/>
          <w:szCs w:val="27"/>
        </w:rPr>
        <w:t>　依照本法第十条第四项的规定核定计算污染物排放量的，由税务机关会同生态环境主管部门核定污染物排放种类、数量和应纳税额。</w:t>
      </w:r>
    </w:p>
    <w:p w14:paraId="6BED7B1C">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第二十二条</w:t>
      </w:r>
      <w:r>
        <w:rPr>
          <w:rFonts w:hint="eastAsia" w:ascii="微软雅黑" w:hAnsi="微软雅黑" w:eastAsia="微软雅黑" w:cs="微软雅黑"/>
          <w:color w:val="333333"/>
          <w:sz w:val="27"/>
          <w:szCs w:val="27"/>
        </w:rPr>
        <w:t>　纳税人从事海洋工程向中华人民共和国管辖海域排放应税大气污染物、水污染物或者固体废物，申报缴纳环境保护税的具体办法，由国务院税务主管部门会同国务院生态环境主管部门规定。</w:t>
      </w:r>
    </w:p>
    <w:p w14:paraId="286525F7">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第二十三条</w:t>
      </w:r>
      <w:r>
        <w:rPr>
          <w:rFonts w:hint="eastAsia" w:ascii="微软雅黑" w:hAnsi="微软雅黑" w:eastAsia="微软雅黑" w:cs="微软雅黑"/>
          <w:color w:val="333333"/>
          <w:sz w:val="27"/>
          <w:szCs w:val="27"/>
        </w:rPr>
        <w:t>　纳税人和税务机关、生态环境主管部门及其工作人员违反本法规定的，依照《中华人民共和国税收征收管理法》、</w:t>
      </w:r>
      <w:r>
        <w:rPr>
          <w:rFonts w:hint="eastAsia" w:ascii="微软雅黑" w:hAnsi="微软雅黑" w:eastAsia="微软雅黑" w:cs="微软雅黑"/>
          <w:sz w:val="27"/>
          <w:szCs w:val="27"/>
        </w:rPr>
        <w:fldChar w:fldCharType="begin"/>
      </w:r>
      <w:r>
        <w:rPr>
          <w:rFonts w:hint="eastAsia" w:ascii="微软雅黑" w:hAnsi="微软雅黑" w:eastAsia="微软雅黑" w:cs="微软雅黑"/>
          <w:sz w:val="27"/>
          <w:szCs w:val="27"/>
        </w:rPr>
        <w:instrText xml:space="preserve"> HYPERLINK "https://fgk.chinatax.gov.cn/zcfgk/c100009/c5211798/content.html" \t "_blank" </w:instrText>
      </w:r>
      <w:r>
        <w:rPr>
          <w:rFonts w:hint="eastAsia" w:ascii="微软雅黑" w:hAnsi="微软雅黑" w:eastAsia="微软雅黑" w:cs="微软雅黑"/>
          <w:sz w:val="27"/>
          <w:szCs w:val="27"/>
        </w:rPr>
        <w:fldChar w:fldCharType="separate"/>
      </w:r>
      <w:r>
        <w:rPr>
          <w:rStyle w:val="13"/>
          <w:rFonts w:hint="eastAsia" w:ascii="微软雅黑" w:hAnsi="微软雅黑" w:eastAsia="微软雅黑" w:cs="微软雅黑"/>
          <w:sz w:val="27"/>
          <w:szCs w:val="27"/>
        </w:rPr>
        <w:t>《中华人民共和国环境保护法》</w:t>
      </w:r>
      <w:r>
        <w:rPr>
          <w:rFonts w:hint="eastAsia" w:ascii="微软雅黑" w:hAnsi="微软雅黑" w:eastAsia="微软雅黑" w:cs="微软雅黑"/>
          <w:sz w:val="27"/>
          <w:szCs w:val="27"/>
        </w:rPr>
        <w:fldChar w:fldCharType="end"/>
      </w:r>
      <w:r>
        <w:rPr>
          <w:rFonts w:hint="eastAsia" w:ascii="微软雅黑" w:hAnsi="微软雅黑" w:eastAsia="微软雅黑" w:cs="微软雅黑"/>
          <w:color w:val="333333"/>
          <w:sz w:val="27"/>
          <w:szCs w:val="27"/>
        </w:rPr>
        <w:t>和有关法律法规的规定追究法律责任。</w:t>
      </w:r>
    </w:p>
    <w:p w14:paraId="692AA7EE">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第二十四条</w:t>
      </w:r>
      <w:r>
        <w:rPr>
          <w:rFonts w:hint="eastAsia" w:ascii="微软雅黑" w:hAnsi="微软雅黑" w:eastAsia="微软雅黑" w:cs="微软雅黑"/>
          <w:color w:val="333333"/>
          <w:sz w:val="27"/>
          <w:szCs w:val="27"/>
        </w:rPr>
        <w:t>　各级人民政府应当鼓励纳税人加大环境保护建设投入，对纳税人用于污染物自动监测设备的投资予以资金和政策支持。</w:t>
      </w:r>
    </w:p>
    <w:p w14:paraId="376AAFA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0741357C">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第五章　附　　则</w:t>
      </w:r>
    </w:p>
    <w:p w14:paraId="3B477A4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5E011719">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第二十五条</w:t>
      </w:r>
      <w:r>
        <w:rPr>
          <w:rFonts w:hint="eastAsia" w:ascii="微软雅黑" w:hAnsi="微软雅黑" w:eastAsia="微软雅黑" w:cs="微软雅黑"/>
          <w:color w:val="333333"/>
          <w:sz w:val="27"/>
          <w:szCs w:val="27"/>
        </w:rPr>
        <w:t>　本法下列用语的含义：</w:t>
      </w:r>
    </w:p>
    <w:p w14:paraId="7C6F0766">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一）污染当量，是指根据污染物或者污染排放活动对环境的有害程度以及处理的技术经济性，衡量不同污染物对环境污染的综合性指标或者计量单位。同一介质相同污染当量的不同污染物，其污染程度基本相当。</w:t>
      </w:r>
    </w:p>
    <w:p w14:paraId="16CEEB0A">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（二）排污系数，是指在正常技术经济和管理条件下，生产单位产品所应排放的污染物量的统计平均值。</w:t>
      </w:r>
    </w:p>
    <w:p w14:paraId="60829B1C">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（三）物料衡算，是指根据物质质量守恒原理对生产过程中使用的原料、生产的产品和产生的废物等进行测算的一种方法。</w:t>
      </w:r>
    </w:p>
    <w:p w14:paraId="149CCBE0">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第二十六条</w:t>
      </w:r>
      <w:r>
        <w:rPr>
          <w:rFonts w:hint="eastAsia" w:ascii="微软雅黑" w:hAnsi="微软雅黑" w:eastAsia="微软雅黑" w:cs="微软雅黑"/>
          <w:color w:val="333333"/>
          <w:sz w:val="27"/>
          <w:szCs w:val="27"/>
        </w:rPr>
        <w:t>　直接向环境排放应税污染物的企业事业单位和其他生产经营者，除依照本法规定缴纳环境保护税外，应当对所造成的损害依法承担责任。</w:t>
      </w:r>
    </w:p>
    <w:p w14:paraId="3935CEAC">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第二十七条</w:t>
      </w:r>
      <w:r>
        <w:rPr>
          <w:rFonts w:hint="eastAsia" w:ascii="微软雅黑" w:hAnsi="微软雅黑" w:eastAsia="微软雅黑" w:cs="微软雅黑"/>
          <w:color w:val="333333"/>
          <w:sz w:val="27"/>
          <w:szCs w:val="27"/>
        </w:rPr>
        <w:t>　国务院根据国民经济和社会发展以及环境保护需要，对直接向环境排放本法所附《应税污染物和当量值表》规定以外的挥发性有机物的企业事业单位和其他生产经营者开展征收环境保护税试点工作。试点实施办法由国务院制定，报全国人民代表大会常务委员会备案。</w:t>
      </w:r>
    </w:p>
    <w:p w14:paraId="371AAE0D">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国务院及其有关部门应当根据挥发性有机物的特点，合理设定征税范围和税额幅度，完善监测技术和排放量计算方法，加强工作协同，加快推进试点工作。</w:t>
      </w:r>
    </w:p>
    <w:p w14:paraId="15DAC61E">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国务院自试点实施办法施行之日起五年内，就征收挥发性有机物环境保护税试点情况向全国人民代表大会常务委员会报告，并提出修改法律的建议。</w:t>
      </w:r>
    </w:p>
    <w:p w14:paraId="259E4637">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第二十八条</w:t>
      </w:r>
      <w:r>
        <w:rPr>
          <w:rFonts w:hint="eastAsia" w:ascii="微软雅黑" w:hAnsi="微软雅黑" w:eastAsia="微软雅黑" w:cs="微软雅黑"/>
          <w:color w:val="333333"/>
          <w:sz w:val="27"/>
          <w:szCs w:val="27"/>
        </w:rPr>
        <w:t>　自本法施行之日起，依照本法规定征收环境保护税，不再征收排污费。</w:t>
      </w:r>
    </w:p>
    <w:p w14:paraId="5A753871">
      <w:pPr>
        <w:pStyle w:val="9"/>
        <w:keepNext w:val="0"/>
        <w:keepLines w:val="0"/>
        <w:widowControl/>
        <w:suppressLineNumbers w:val="0"/>
        <w:ind w:left="0" w:firstLine="420"/>
        <w:jc w:val="both"/>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第二十九条</w:t>
      </w:r>
      <w:r>
        <w:rPr>
          <w:rFonts w:hint="eastAsia" w:ascii="微软雅黑" w:hAnsi="微软雅黑" w:eastAsia="微软雅黑" w:cs="微软雅黑"/>
          <w:color w:val="333333"/>
          <w:sz w:val="27"/>
          <w:szCs w:val="27"/>
        </w:rPr>
        <w:t>　本法自2018年1月1日起施行。</w:t>
      </w:r>
    </w:p>
    <w:p w14:paraId="07AF131A">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5E1846E7">
      <w:pPr>
        <w:pStyle w:val="9"/>
        <w:keepNext w:val="0"/>
        <w:keepLines w:val="0"/>
        <w:widowControl/>
        <w:suppressLineNumbers w:val="0"/>
        <w:jc w:val="left"/>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附表一：</w:t>
      </w:r>
    </w:p>
    <w:p w14:paraId="75FEEE2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625A943A">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环境保护税税目税额表</w:t>
      </w:r>
    </w:p>
    <w:p w14:paraId="73940C6A">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bl>
      <w:tblPr>
        <w:tblW w:w="809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415"/>
        <w:gridCol w:w="1840"/>
        <w:gridCol w:w="2002"/>
        <w:gridCol w:w="1658"/>
        <w:gridCol w:w="2175"/>
      </w:tblGrid>
      <w:tr w14:paraId="525317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2230" w:type="dxa"/>
            <w:gridSpan w:val="2"/>
            <w:tcBorders>
              <w:top w:val="outset" w:color="auto" w:sz="6" w:space="0"/>
              <w:left w:val="outset" w:color="auto" w:sz="6" w:space="0"/>
              <w:bottom w:val="outset" w:color="auto" w:sz="6" w:space="0"/>
              <w:right w:val="outset" w:color="auto" w:sz="6" w:space="0"/>
            </w:tcBorders>
            <w:shd w:val="clear"/>
            <w:vAlign w:val="center"/>
          </w:tcPr>
          <w:p w14:paraId="321A84F5">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税　　目</w:t>
            </w: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55C848C4">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计税单位</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7950F1BD">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税　　额</w:t>
            </w:r>
          </w:p>
        </w:tc>
        <w:tc>
          <w:tcPr>
            <w:tcW w:w="2150" w:type="dxa"/>
            <w:tcBorders>
              <w:top w:val="outset" w:color="auto" w:sz="6" w:space="0"/>
              <w:left w:val="outset" w:color="auto" w:sz="6" w:space="0"/>
              <w:bottom w:val="outset" w:color="auto" w:sz="6" w:space="0"/>
              <w:right w:val="outset" w:color="auto" w:sz="6" w:space="0"/>
            </w:tcBorders>
            <w:shd w:val="clear"/>
            <w:vAlign w:val="center"/>
          </w:tcPr>
          <w:p w14:paraId="3B9D14D2">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备　　注</w:t>
            </w:r>
          </w:p>
        </w:tc>
      </w:tr>
      <w:tr w14:paraId="0744C7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2230" w:type="dxa"/>
            <w:gridSpan w:val="2"/>
            <w:tcBorders>
              <w:top w:val="outset" w:color="auto" w:sz="6" w:space="0"/>
              <w:left w:val="outset" w:color="auto" w:sz="6" w:space="0"/>
              <w:bottom w:val="outset" w:color="auto" w:sz="6" w:space="0"/>
              <w:right w:val="outset" w:color="auto" w:sz="6" w:space="0"/>
            </w:tcBorders>
            <w:shd w:val="clear"/>
            <w:vAlign w:val="center"/>
          </w:tcPr>
          <w:p w14:paraId="4EB41DB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大气污染物</w:t>
            </w: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329CD0A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每污染当量</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3D186FC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1.2元至12元</w:t>
            </w:r>
          </w:p>
        </w:tc>
        <w:tc>
          <w:tcPr>
            <w:tcW w:w="2150" w:type="dxa"/>
            <w:tcBorders>
              <w:top w:val="outset" w:color="auto" w:sz="6" w:space="0"/>
              <w:left w:val="outset" w:color="auto" w:sz="6" w:space="0"/>
              <w:bottom w:val="outset" w:color="auto" w:sz="6" w:space="0"/>
              <w:right w:val="outset" w:color="auto" w:sz="6" w:space="0"/>
            </w:tcBorders>
            <w:shd w:val="clear"/>
            <w:vAlign w:val="center"/>
          </w:tcPr>
          <w:p w14:paraId="55C838D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69719A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2230" w:type="dxa"/>
            <w:gridSpan w:val="2"/>
            <w:tcBorders>
              <w:top w:val="outset" w:color="auto" w:sz="6" w:space="0"/>
              <w:left w:val="outset" w:color="auto" w:sz="6" w:space="0"/>
              <w:bottom w:val="outset" w:color="auto" w:sz="6" w:space="0"/>
              <w:right w:val="outset" w:color="auto" w:sz="6" w:space="0"/>
            </w:tcBorders>
            <w:shd w:val="clear"/>
            <w:vAlign w:val="center"/>
          </w:tcPr>
          <w:p w14:paraId="318CE07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水污染物</w:t>
            </w: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7E1BA18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每污染当量</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69C5CCB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1.4元至14元</w:t>
            </w:r>
          </w:p>
        </w:tc>
        <w:tc>
          <w:tcPr>
            <w:tcW w:w="2150" w:type="dxa"/>
            <w:tcBorders>
              <w:top w:val="outset" w:color="auto" w:sz="6" w:space="0"/>
              <w:left w:val="outset" w:color="auto" w:sz="6" w:space="0"/>
              <w:bottom w:val="outset" w:color="auto" w:sz="6" w:space="0"/>
              <w:right w:val="outset" w:color="auto" w:sz="6" w:space="0"/>
            </w:tcBorders>
            <w:shd w:val="clear"/>
            <w:vAlign w:val="center"/>
          </w:tcPr>
          <w:p w14:paraId="45D8E7A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19178B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9" w:hRule="atLeast"/>
        </w:trPr>
        <w:tc>
          <w:tcPr>
            <w:tcW w:w="410" w:type="dxa"/>
            <w:vMerge w:val="restart"/>
            <w:tcBorders>
              <w:top w:val="outset" w:color="auto" w:sz="6" w:space="0"/>
              <w:left w:val="outset" w:color="auto" w:sz="6" w:space="0"/>
              <w:bottom w:val="outset" w:color="auto" w:sz="6" w:space="0"/>
              <w:right w:val="outset" w:color="auto" w:sz="6" w:space="0"/>
            </w:tcBorders>
            <w:shd w:val="clear"/>
            <w:vAlign w:val="center"/>
          </w:tcPr>
          <w:p w14:paraId="010D84C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固体废物</w:t>
            </w:r>
          </w:p>
        </w:tc>
        <w:tc>
          <w:tcPr>
            <w:tcW w:w="1800" w:type="dxa"/>
            <w:tcBorders>
              <w:top w:val="outset" w:color="auto" w:sz="6" w:space="0"/>
              <w:left w:val="outset" w:color="auto" w:sz="6" w:space="0"/>
              <w:bottom w:val="outset" w:color="auto" w:sz="6" w:space="0"/>
              <w:right w:val="outset" w:color="auto" w:sz="6" w:space="0"/>
            </w:tcBorders>
            <w:shd w:val="clear"/>
            <w:vAlign w:val="center"/>
          </w:tcPr>
          <w:p w14:paraId="2619DE6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煤矸石</w:t>
            </w: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65AECB7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每吨</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0891998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5元</w:t>
            </w:r>
          </w:p>
        </w:tc>
        <w:tc>
          <w:tcPr>
            <w:tcW w:w="2150" w:type="dxa"/>
            <w:tcBorders>
              <w:top w:val="outset" w:color="auto" w:sz="6" w:space="0"/>
              <w:left w:val="outset" w:color="auto" w:sz="6" w:space="0"/>
              <w:bottom w:val="outset" w:color="auto" w:sz="6" w:space="0"/>
              <w:right w:val="outset" w:color="auto" w:sz="6" w:space="0"/>
            </w:tcBorders>
            <w:shd w:val="clear"/>
            <w:vAlign w:val="center"/>
          </w:tcPr>
          <w:p w14:paraId="120AA88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768C85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875" w:hRule="atLeast"/>
        </w:trPr>
        <w:tc>
          <w:tcPr>
            <w:tcW w:w="410" w:type="dxa"/>
            <w:vMerge w:val="continue"/>
            <w:tcBorders>
              <w:top w:val="outset" w:color="auto" w:sz="6" w:space="0"/>
              <w:left w:val="outset" w:color="auto" w:sz="6" w:space="0"/>
              <w:bottom w:val="outset" w:color="auto" w:sz="6" w:space="0"/>
              <w:right w:val="outset" w:color="auto" w:sz="6" w:space="0"/>
            </w:tcBorders>
            <w:shd w:val="clear"/>
            <w:vAlign w:val="center"/>
          </w:tcPr>
          <w:p w14:paraId="1D2DB441">
            <w:pPr>
              <w:rPr>
                <w:rFonts w:hint="eastAsia" w:ascii="宋体"/>
                <w:sz w:val="24"/>
                <w:szCs w:val="24"/>
              </w:rPr>
            </w:pPr>
          </w:p>
        </w:tc>
        <w:tc>
          <w:tcPr>
            <w:tcW w:w="1800" w:type="dxa"/>
            <w:tcBorders>
              <w:top w:val="outset" w:color="auto" w:sz="6" w:space="0"/>
              <w:left w:val="outset" w:color="auto" w:sz="6" w:space="0"/>
              <w:bottom w:val="outset" w:color="auto" w:sz="6" w:space="0"/>
              <w:right w:val="outset" w:color="auto" w:sz="6" w:space="0"/>
            </w:tcBorders>
            <w:shd w:val="clear"/>
            <w:vAlign w:val="center"/>
          </w:tcPr>
          <w:p w14:paraId="39BCAB8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尾矿</w:t>
            </w: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1493C9F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每吨</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3D8AB06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15元</w:t>
            </w:r>
          </w:p>
        </w:tc>
        <w:tc>
          <w:tcPr>
            <w:tcW w:w="2150" w:type="dxa"/>
            <w:tcBorders>
              <w:top w:val="outset" w:color="auto" w:sz="6" w:space="0"/>
              <w:left w:val="outset" w:color="auto" w:sz="6" w:space="0"/>
              <w:bottom w:val="outset" w:color="auto" w:sz="6" w:space="0"/>
              <w:right w:val="outset" w:color="auto" w:sz="6" w:space="0"/>
            </w:tcBorders>
            <w:shd w:val="clear"/>
            <w:vAlign w:val="center"/>
          </w:tcPr>
          <w:p w14:paraId="3A50906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0877D6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10" w:type="dxa"/>
            <w:vMerge w:val="restart"/>
            <w:tcBorders>
              <w:top w:val="outset" w:color="auto" w:sz="6" w:space="0"/>
              <w:left w:val="outset" w:color="auto" w:sz="6" w:space="0"/>
              <w:bottom w:val="outset" w:color="auto" w:sz="6" w:space="0"/>
              <w:right w:val="outset" w:color="auto" w:sz="6" w:space="0"/>
            </w:tcBorders>
            <w:shd w:val="clear"/>
            <w:vAlign w:val="center"/>
          </w:tcPr>
          <w:p w14:paraId="14632C4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固体废物</w:t>
            </w:r>
          </w:p>
        </w:tc>
        <w:tc>
          <w:tcPr>
            <w:tcW w:w="1800" w:type="dxa"/>
            <w:tcBorders>
              <w:top w:val="outset" w:color="auto" w:sz="6" w:space="0"/>
              <w:left w:val="outset" w:color="auto" w:sz="6" w:space="0"/>
              <w:bottom w:val="outset" w:color="auto" w:sz="6" w:space="0"/>
              <w:right w:val="outset" w:color="auto" w:sz="6" w:space="0"/>
            </w:tcBorders>
            <w:shd w:val="clear"/>
            <w:vAlign w:val="center"/>
          </w:tcPr>
          <w:p w14:paraId="27C7B40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危险废物</w:t>
            </w: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320F1D0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每吨</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4AD51BB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1000元</w:t>
            </w:r>
          </w:p>
        </w:tc>
        <w:tc>
          <w:tcPr>
            <w:tcW w:w="2150" w:type="dxa"/>
            <w:tcBorders>
              <w:top w:val="outset" w:color="auto" w:sz="6" w:space="0"/>
              <w:left w:val="outset" w:color="auto" w:sz="6" w:space="0"/>
              <w:bottom w:val="outset" w:color="auto" w:sz="6" w:space="0"/>
              <w:right w:val="outset" w:color="auto" w:sz="6" w:space="0"/>
            </w:tcBorders>
            <w:shd w:val="clear"/>
            <w:vAlign w:val="center"/>
          </w:tcPr>
          <w:p w14:paraId="6C5A607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1D9AC0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10" w:type="dxa"/>
            <w:vMerge w:val="continue"/>
            <w:tcBorders>
              <w:top w:val="outset" w:color="auto" w:sz="6" w:space="0"/>
              <w:left w:val="outset" w:color="auto" w:sz="6" w:space="0"/>
              <w:bottom w:val="outset" w:color="auto" w:sz="6" w:space="0"/>
              <w:right w:val="outset" w:color="auto" w:sz="6" w:space="0"/>
            </w:tcBorders>
            <w:shd w:val="clear"/>
            <w:vAlign w:val="center"/>
          </w:tcPr>
          <w:p w14:paraId="0614FDCA">
            <w:pPr>
              <w:rPr>
                <w:rFonts w:hint="eastAsia" w:ascii="宋体"/>
                <w:sz w:val="24"/>
                <w:szCs w:val="24"/>
              </w:rPr>
            </w:pPr>
          </w:p>
        </w:tc>
        <w:tc>
          <w:tcPr>
            <w:tcW w:w="1800" w:type="dxa"/>
            <w:tcBorders>
              <w:top w:val="outset" w:color="auto" w:sz="6" w:space="0"/>
              <w:left w:val="outset" w:color="auto" w:sz="6" w:space="0"/>
              <w:bottom w:val="outset" w:color="auto" w:sz="6" w:space="0"/>
              <w:right w:val="outset" w:color="auto" w:sz="6" w:space="0"/>
            </w:tcBorders>
            <w:shd w:val="clear"/>
            <w:vAlign w:val="center"/>
          </w:tcPr>
          <w:p w14:paraId="2D4DBB7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冶炼渣、粉煤灰、炉渣、其他固体废物（含半固态、液态废物）</w:t>
            </w: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22EACFD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每吨</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43AA8C1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25元</w:t>
            </w:r>
          </w:p>
        </w:tc>
        <w:tc>
          <w:tcPr>
            <w:tcW w:w="2150" w:type="dxa"/>
            <w:tcBorders>
              <w:top w:val="outset" w:color="auto" w:sz="6" w:space="0"/>
              <w:left w:val="outset" w:color="auto" w:sz="6" w:space="0"/>
              <w:bottom w:val="outset" w:color="auto" w:sz="6" w:space="0"/>
              <w:right w:val="outset" w:color="auto" w:sz="6" w:space="0"/>
            </w:tcBorders>
            <w:shd w:val="clear"/>
            <w:vAlign w:val="center"/>
          </w:tcPr>
          <w:p w14:paraId="3F4EE0C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5C1462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10" w:type="dxa"/>
            <w:vMerge w:val="restart"/>
            <w:tcBorders>
              <w:top w:val="outset" w:color="auto" w:sz="6" w:space="0"/>
              <w:left w:val="outset" w:color="auto" w:sz="6" w:space="0"/>
              <w:bottom w:val="outset" w:color="auto" w:sz="6" w:space="0"/>
              <w:right w:val="outset" w:color="auto" w:sz="6" w:space="0"/>
            </w:tcBorders>
            <w:shd w:val="clear"/>
            <w:vAlign w:val="center"/>
          </w:tcPr>
          <w:p w14:paraId="0C031EF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噪声</w:t>
            </w:r>
          </w:p>
        </w:tc>
        <w:tc>
          <w:tcPr>
            <w:tcW w:w="1800" w:type="dxa"/>
            <w:vMerge w:val="restart"/>
            <w:tcBorders>
              <w:top w:val="outset" w:color="auto" w:sz="6" w:space="0"/>
              <w:left w:val="outset" w:color="auto" w:sz="6" w:space="0"/>
              <w:bottom w:val="outset" w:color="auto" w:sz="6" w:space="0"/>
              <w:right w:val="outset" w:color="auto" w:sz="6" w:space="0"/>
            </w:tcBorders>
            <w:shd w:val="clear"/>
            <w:vAlign w:val="center"/>
          </w:tcPr>
          <w:p w14:paraId="275AC33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工业噪声</w:t>
            </w: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7F8DC46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超标1－3分贝</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036C406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每月350元</w:t>
            </w:r>
          </w:p>
        </w:tc>
        <w:tc>
          <w:tcPr>
            <w:tcW w:w="2150" w:type="dxa"/>
            <w:vMerge w:val="restart"/>
            <w:tcBorders>
              <w:top w:val="outset" w:color="auto" w:sz="6" w:space="0"/>
              <w:left w:val="outset" w:color="auto" w:sz="6" w:space="0"/>
              <w:bottom w:val="outset" w:color="auto" w:sz="6" w:space="0"/>
              <w:right w:val="outset" w:color="auto" w:sz="6" w:space="0"/>
            </w:tcBorders>
            <w:shd w:val="clear"/>
            <w:vAlign w:val="center"/>
          </w:tcPr>
          <w:p w14:paraId="37D99C3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1.一个单位边界上有多处噪声超标，根据最高一处超标声级计算应纳税额；当沿边界长度超过100米有两处以上噪声超标，按照两个单位计算应纳税额。</w:t>
            </w:r>
          </w:p>
          <w:p w14:paraId="0109BBD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2.一个单位有不同地点作业场所的，应当分别计算应纳税额，合并计征。</w:t>
            </w:r>
          </w:p>
          <w:p w14:paraId="5EDBDCE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3.昼、夜均超标的环境噪声，昼、夜分别计算应纳税额，累计计征。</w:t>
            </w:r>
          </w:p>
          <w:p w14:paraId="587DF35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4.声源一个月内超标不足15天的，减半计算应纳税额。</w:t>
            </w:r>
          </w:p>
          <w:p w14:paraId="5CE4322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5.夜间频繁突发和夜间偶然突发厂界超标噪声，按等效声级和峰值噪声两种指标中超标分贝值高的一项计算应纳税额。</w:t>
            </w:r>
          </w:p>
        </w:tc>
      </w:tr>
      <w:tr w14:paraId="074F12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10" w:type="dxa"/>
            <w:vMerge w:val="continue"/>
            <w:tcBorders>
              <w:top w:val="outset" w:color="auto" w:sz="6" w:space="0"/>
              <w:left w:val="outset" w:color="auto" w:sz="6" w:space="0"/>
              <w:bottom w:val="outset" w:color="auto" w:sz="6" w:space="0"/>
              <w:right w:val="outset" w:color="auto" w:sz="6" w:space="0"/>
            </w:tcBorders>
            <w:shd w:val="clear"/>
            <w:vAlign w:val="center"/>
          </w:tcPr>
          <w:p w14:paraId="51DF59AF">
            <w:pPr>
              <w:rPr>
                <w:rFonts w:hint="eastAsia" w:ascii="宋体"/>
                <w:sz w:val="24"/>
                <w:szCs w:val="24"/>
              </w:rPr>
            </w:pPr>
          </w:p>
        </w:tc>
        <w:tc>
          <w:tcPr>
            <w:tcW w:w="1800" w:type="dxa"/>
            <w:vMerge w:val="continue"/>
            <w:tcBorders>
              <w:top w:val="outset" w:color="auto" w:sz="6" w:space="0"/>
              <w:left w:val="outset" w:color="auto" w:sz="6" w:space="0"/>
              <w:bottom w:val="outset" w:color="auto" w:sz="6" w:space="0"/>
              <w:right w:val="outset" w:color="auto" w:sz="6" w:space="0"/>
            </w:tcBorders>
            <w:shd w:val="clear"/>
            <w:vAlign w:val="center"/>
          </w:tcPr>
          <w:p w14:paraId="32AAB31F">
            <w:pPr>
              <w:rPr>
                <w:rFonts w:hint="eastAsia" w:ascii="宋体"/>
                <w:sz w:val="24"/>
                <w:szCs w:val="24"/>
              </w:rPr>
            </w:pP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593E988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超标4－6分贝</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5F13179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每月700元</w:t>
            </w:r>
          </w:p>
        </w:tc>
        <w:tc>
          <w:tcPr>
            <w:tcW w:w="2150" w:type="dxa"/>
            <w:vMerge w:val="continue"/>
            <w:tcBorders>
              <w:top w:val="outset" w:color="auto" w:sz="6" w:space="0"/>
              <w:left w:val="outset" w:color="auto" w:sz="6" w:space="0"/>
              <w:bottom w:val="outset" w:color="auto" w:sz="6" w:space="0"/>
              <w:right w:val="outset" w:color="auto" w:sz="6" w:space="0"/>
            </w:tcBorders>
            <w:shd w:val="clear"/>
            <w:vAlign w:val="center"/>
          </w:tcPr>
          <w:p w14:paraId="0DBA92D2">
            <w:pPr>
              <w:rPr>
                <w:rFonts w:hint="eastAsia" w:ascii="宋体"/>
                <w:sz w:val="24"/>
                <w:szCs w:val="24"/>
              </w:rPr>
            </w:pPr>
          </w:p>
        </w:tc>
      </w:tr>
      <w:tr w14:paraId="3D45B4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10" w:type="dxa"/>
            <w:vMerge w:val="continue"/>
            <w:tcBorders>
              <w:top w:val="outset" w:color="auto" w:sz="6" w:space="0"/>
              <w:left w:val="outset" w:color="auto" w:sz="6" w:space="0"/>
              <w:bottom w:val="outset" w:color="auto" w:sz="6" w:space="0"/>
              <w:right w:val="outset" w:color="auto" w:sz="6" w:space="0"/>
            </w:tcBorders>
            <w:shd w:val="clear"/>
            <w:vAlign w:val="center"/>
          </w:tcPr>
          <w:p w14:paraId="31D4EB40">
            <w:pPr>
              <w:rPr>
                <w:rFonts w:hint="eastAsia" w:ascii="宋体"/>
                <w:sz w:val="24"/>
                <w:szCs w:val="24"/>
              </w:rPr>
            </w:pPr>
          </w:p>
        </w:tc>
        <w:tc>
          <w:tcPr>
            <w:tcW w:w="1800" w:type="dxa"/>
            <w:vMerge w:val="continue"/>
            <w:tcBorders>
              <w:top w:val="outset" w:color="auto" w:sz="6" w:space="0"/>
              <w:left w:val="outset" w:color="auto" w:sz="6" w:space="0"/>
              <w:bottom w:val="outset" w:color="auto" w:sz="6" w:space="0"/>
              <w:right w:val="outset" w:color="auto" w:sz="6" w:space="0"/>
            </w:tcBorders>
            <w:shd w:val="clear"/>
            <w:vAlign w:val="center"/>
          </w:tcPr>
          <w:p w14:paraId="01C4D725">
            <w:pPr>
              <w:rPr>
                <w:rFonts w:hint="eastAsia" w:ascii="宋体"/>
                <w:sz w:val="24"/>
                <w:szCs w:val="24"/>
              </w:rPr>
            </w:pP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51EDA03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超标7－9分贝</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5789B62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每月1400元</w:t>
            </w:r>
          </w:p>
        </w:tc>
        <w:tc>
          <w:tcPr>
            <w:tcW w:w="2150" w:type="dxa"/>
            <w:vMerge w:val="continue"/>
            <w:tcBorders>
              <w:top w:val="outset" w:color="auto" w:sz="6" w:space="0"/>
              <w:left w:val="outset" w:color="auto" w:sz="6" w:space="0"/>
              <w:bottom w:val="outset" w:color="auto" w:sz="6" w:space="0"/>
              <w:right w:val="outset" w:color="auto" w:sz="6" w:space="0"/>
            </w:tcBorders>
            <w:shd w:val="clear"/>
            <w:vAlign w:val="center"/>
          </w:tcPr>
          <w:p w14:paraId="435E7725">
            <w:pPr>
              <w:rPr>
                <w:rFonts w:hint="eastAsia" w:ascii="宋体"/>
                <w:sz w:val="24"/>
                <w:szCs w:val="24"/>
              </w:rPr>
            </w:pPr>
          </w:p>
        </w:tc>
      </w:tr>
      <w:tr w14:paraId="393721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10" w:type="dxa"/>
            <w:vMerge w:val="continue"/>
            <w:tcBorders>
              <w:top w:val="outset" w:color="auto" w:sz="6" w:space="0"/>
              <w:left w:val="outset" w:color="auto" w:sz="6" w:space="0"/>
              <w:bottom w:val="outset" w:color="auto" w:sz="6" w:space="0"/>
              <w:right w:val="outset" w:color="auto" w:sz="6" w:space="0"/>
            </w:tcBorders>
            <w:shd w:val="clear"/>
            <w:vAlign w:val="center"/>
          </w:tcPr>
          <w:p w14:paraId="31A3C8E1">
            <w:pPr>
              <w:rPr>
                <w:rFonts w:hint="eastAsia" w:ascii="宋体"/>
                <w:sz w:val="24"/>
                <w:szCs w:val="24"/>
              </w:rPr>
            </w:pPr>
          </w:p>
        </w:tc>
        <w:tc>
          <w:tcPr>
            <w:tcW w:w="1800" w:type="dxa"/>
            <w:vMerge w:val="continue"/>
            <w:tcBorders>
              <w:top w:val="outset" w:color="auto" w:sz="6" w:space="0"/>
              <w:left w:val="outset" w:color="auto" w:sz="6" w:space="0"/>
              <w:bottom w:val="outset" w:color="auto" w:sz="6" w:space="0"/>
              <w:right w:val="outset" w:color="auto" w:sz="6" w:space="0"/>
            </w:tcBorders>
            <w:shd w:val="clear"/>
            <w:vAlign w:val="center"/>
          </w:tcPr>
          <w:p w14:paraId="20B66098">
            <w:pPr>
              <w:rPr>
                <w:rFonts w:hint="eastAsia" w:ascii="宋体"/>
                <w:sz w:val="24"/>
                <w:szCs w:val="24"/>
              </w:rPr>
            </w:pP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09EAAE5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超标10－12分贝</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0D003CE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每月2800元</w:t>
            </w:r>
          </w:p>
        </w:tc>
        <w:tc>
          <w:tcPr>
            <w:tcW w:w="2150" w:type="dxa"/>
            <w:vMerge w:val="continue"/>
            <w:tcBorders>
              <w:top w:val="outset" w:color="auto" w:sz="6" w:space="0"/>
              <w:left w:val="outset" w:color="auto" w:sz="6" w:space="0"/>
              <w:bottom w:val="outset" w:color="auto" w:sz="6" w:space="0"/>
              <w:right w:val="outset" w:color="auto" w:sz="6" w:space="0"/>
            </w:tcBorders>
            <w:shd w:val="clear"/>
            <w:vAlign w:val="center"/>
          </w:tcPr>
          <w:p w14:paraId="5927E515">
            <w:pPr>
              <w:rPr>
                <w:rFonts w:hint="eastAsia" w:ascii="宋体"/>
                <w:sz w:val="24"/>
                <w:szCs w:val="24"/>
              </w:rPr>
            </w:pPr>
          </w:p>
        </w:tc>
      </w:tr>
      <w:tr w14:paraId="0D7046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90" w:hRule="atLeast"/>
        </w:trPr>
        <w:tc>
          <w:tcPr>
            <w:tcW w:w="410" w:type="dxa"/>
            <w:vMerge w:val="continue"/>
            <w:tcBorders>
              <w:top w:val="outset" w:color="auto" w:sz="6" w:space="0"/>
              <w:left w:val="outset" w:color="auto" w:sz="6" w:space="0"/>
              <w:bottom w:val="outset" w:color="auto" w:sz="6" w:space="0"/>
              <w:right w:val="outset" w:color="auto" w:sz="6" w:space="0"/>
            </w:tcBorders>
            <w:shd w:val="clear"/>
            <w:vAlign w:val="center"/>
          </w:tcPr>
          <w:p w14:paraId="5D4ECB41">
            <w:pPr>
              <w:rPr>
                <w:rFonts w:hint="eastAsia" w:ascii="宋体"/>
                <w:sz w:val="24"/>
                <w:szCs w:val="24"/>
              </w:rPr>
            </w:pPr>
          </w:p>
        </w:tc>
        <w:tc>
          <w:tcPr>
            <w:tcW w:w="1800" w:type="dxa"/>
            <w:vMerge w:val="continue"/>
            <w:tcBorders>
              <w:top w:val="outset" w:color="auto" w:sz="6" w:space="0"/>
              <w:left w:val="outset" w:color="auto" w:sz="6" w:space="0"/>
              <w:bottom w:val="outset" w:color="auto" w:sz="6" w:space="0"/>
              <w:right w:val="outset" w:color="auto" w:sz="6" w:space="0"/>
            </w:tcBorders>
            <w:shd w:val="clear"/>
            <w:vAlign w:val="center"/>
          </w:tcPr>
          <w:p w14:paraId="22828182">
            <w:pPr>
              <w:rPr>
                <w:rFonts w:hint="eastAsia" w:ascii="宋体"/>
                <w:sz w:val="24"/>
                <w:szCs w:val="24"/>
              </w:rPr>
            </w:pP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320A631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超标13－15分贝</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24CCC66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每月5600元</w:t>
            </w:r>
          </w:p>
        </w:tc>
        <w:tc>
          <w:tcPr>
            <w:tcW w:w="2150" w:type="dxa"/>
            <w:vMerge w:val="continue"/>
            <w:tcBorders>
              <w:top w:val="outset" w:color="auto" w:sz="6" w:space="0"/>
              <w:left w:val="outset" w:color="auto" w:sz="6" w:space="0"/>
              <w:bottom w:val="outset" w:color="auto" w:sz="6" w:space="0"/>
              <w:right w:val="outset" w:color="auto" w:sz="6" w:space="0"/>
            </w:tcBorders>
            <w:shd w:val="clear"/>
            <w:vAlign w:val="center"/>
          </w:tcPr>
          <w:p w14:paraId="727E32A8">
            <w:pPr>
              <w:rPr>
                <w:rFonts w:hint="eastAsia" w:ascii="宋体"/>
                <w:sz w:val="24"/>
                <w:szCs w:val="24"/>
              </w:rPr>
            </w:pPr>
          </w:p>
        </w:tc>
      </w:tr>
      <w:tr w14:paraId="425932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10" w:type="dxa"/>
            <w:vMerge w:val="continue"/>
            <w:tcBorders>
              <w:top w:val="outset" w:color="auto" w:sz="6" w:space="0"/>
              <w:left w:val="outset" w:color="auto" w:sz="6" w:space="0"/>
              <w:bottom w:val="outset" w:color="auto" w:sz="6" w:space="0"/>
              <w:right w:val="outset" w:color="auto" w:sz="6" w:space="0"/>
            </w:tcBorders>
            <w:shd w:val="clear"/>
            <w:vAlign w:val="center"/>
          </w:tcPr>
          <w:p w14:paraId="7EABE843">
            <w:pPr>
              <w:rPr>
                <w:rFonts w:hint="eastAsia" w:ascii="宋体"/>
                <w:sz w:val="24"/>
                <w:szCs w:val="24"/>
              </w:rPr>
            </w:pPr>
          </w:p>
        </w:tc>
        <w:tc>
          <w:tcPr>
            <w:tcW w:w="1800" w:type="dxa"/>
            <w:vMerge w:val="continue"/>
            <w:tcBorders>
              <w:top w:val="outset" w:color="auto" w:sz="6" w:space="0"/>
              <w:left w:val="outset" w:color="auto" w:sz="6" w:space="0"/>
              <w:bottom w:val="outset" w:color="auto" w:sz="6" w:space="0"/>
              <w:right w:val="outset" w:color="auto" w:sz="6" w:space="0"/>
            </w:tcBorders>
            <w:shd w:val="clear"/>
            <w:vAlign w:val="center"/>
          </w:tcPr>
          <w:p w14:paraId="3A6F59B5">
            <w:pPr>
              <w:rPr>
                <w:rFonts w:hint="eastAsia" w:ascii="宋体"/>
                <w:sz w:val="24"/>
                <w:szCs w:val="24"/>
              </w:rPr>
            </w:pPr>
          </w:p>
        </w:tc>
        <w:tc>
          <w:tcPr>
            <w:tcW w:w="1980" w:type="dxa"/>
            <w:tcBorders>
              <w:top w:val="outset" w:color="auto" w:sz="6" w:space="0"/>
              <w:left w:val="outset" w:color="auto" w:sz="6" w:space="0"/>
              <w:bottom w:val="outset" w:color="auto" w:sz="6" w:space="0"/>
              <w:right w:val="outset" w:color="auto" w:sz="6" w:space="0"/>
            </w:tcBorders>
            <w:shd w:val="clear"/>
            <w:vAlign w:val="center"/>
          </w:tcPr>
          <w:p w14:paraId="3BDB9A5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超标16分贝以上</w:t>
            </w:r>
          </w:p>
        </w:tc>
        <w:tc>
          <w:tcPr>
            <w:tcW w:w="1640" w:type="dxa"/>
            <w:tcBorders>
              <w:top w:val="outset" w:color="auto" w:sz="6" w:space="0"/>
              <w:left w:val="outset" w:color="auto" w:sz="6" w:space="0"/>
              <w:bottom w:val="outset" w:color="auto" w:sz="6" w:space="0"/>
              <w:right w:val="outset" w:color="auto" w:sz="6" w:space="0"/>
            </w:tcBorders>
            <w:shd w:val="clear"/>
            <w:vAlign w:val="center"/>
          </w:tcPr>
          <w:p w14:paraId="61107EE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每月11200元</w:t>
            </w:r>
          </w:p>
        </w:tc>
        <w:tc>
          <w:tcPr>
            <w:tcW w:w="2150" w:type="dxa"/>
            <w:vMerge w:val="continue"/>
            <w:tcBorders>
              <w:top w:val="outset" w:color="auto" w:sz="6" w:space="0"/>
              <w:left w:val="outset" w:color="auto" w:sz="6" w:space="0"/>
              <w:bottom w:val="outset" w:color="auto" w:sz="6" w:space="0"/>
              <w:right w:val="outset" w:color="auto" w:sz="6" w:space="0"/>
            </w:tcBorders>
            <w:shd w:val="clear"/>
            <w:vAlign w:val="center"/>
          </w:tcPr>
          <w:p w14:paraId="3CFC6048">
            <w:pPr>
              <w:rPr>
                <w:rFonts w:hint="eastAsia" w:ascii="宋体"/>
                <w:sz w:val="24"/>
                <w:szCs w:val="24"/>
              </w:rPr>
            </w:pPr>
          </w:p>
        </w:tc>
      </w:tr>
    </w:tbl>
    <w:p w14:paraId="5E8D807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7D1BC155">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17372AE">
      <w:pPr>
        <w:pStyle w:val="9"/>
        <w:keepNext w:val="0"/>
        <w:keepLines w:val="0"/>
        <w:widowControl/>
        <w:suppressLineNumbers w:val="0"/>
        <w:jc w:val="left"/>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附表二：</w:t>
      </w:r>
    </w:p>
    <w:p w14:paraId="215D045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71534F19">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应税污染物和当量值表</w:t>
      </w:r>
    </w:p>
    <w:p w14:paraId="22CEB653">
      <w:pPr>
        <w:pStyle w:val="9"/>
        <w:keepNext w:val="0"/>
        <w:keepLines w:val="0"/>
        <w:widowControl/>
        <w:suppressLineNumbers w:val="0"/>
        <w:spacing w:before="0" w:beforeAutospacing="0" w:after="0" w:afterAutospacing="0"/>
        <w:ind w:left="0" w:right="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0AEDD65">
      <w:pPr>
        <w:pStyle w:val="9"/>
        <w:keepNext w:val="0"/>
        <w:keepLines w:val="0"/>
        <w:widowControl/>
        <w:suppressLineNumbers w:val="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r>
        <w:rPr>
          <w:rStyle w:val="12"/>
          <w:rFonts w:hint="eastAsia" w:ascii="微软雅黑" w:hAnsi="微软雅黑" w:eastAsia="微软雅黑" w:cs="微软雅黑"/>
          <w:color w:val="333333"/>
          <w:sz w:val="27"/>
          <w:szCs w:val="27"/>
        </w:rPr>
        <w:t>一、第一类水污染物污染当量值</w:t>
      </w:r>
    </w:p>
    <w:tbl>
      <w:tblPr>
        <w:tblW w:w="814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3758"/>
        <w:gridCol w:w="4382"/>
      </w:tblGrid>
      <w:tr w14:paraId="39B300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202A38DC">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污　染　物</w:t>
            </w:r>
          </w:p>
        </w:tc>
        <w:tc>
          <w:tcPr>
            <w:tcW w:w="4350" w:type="dxa"/>
            <w:tcBorders>
              <w:top w:val="outset" w:color="auto" w:sz="6" w:space="0"/>
              <w:left w:val="outset" w:color="auto" w:sz="6" w:space="0"/>
              <w:bottom w:val="outset" w:color="auto" w:sz="6" w:space="0"/>
              <w:right w:val="outset" w:color="auto" w:sz="6" w:space="0"/>
            </w:tcBorders>
            <w:shd w:val="clear"/>
            <w:vAlign w:val="center"/>
          </w:tcPr>
          <w:p w14:paraId="0D79D38E">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污染当量值（千克）</w:t>
            </w:r>
          </w:p>
        </w:tc>
      </w:tr>
      <w:tr w14:paraId="7A53E7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3BFDAFB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1.总汞</w:t>
            </w:r>
          </w:p>
        </w:tc>
        <w:tc>
          <w:tcPr>
            <w:tcW w:w="4350" w:type="dxa"/>
            <w:tcBorders>
              <w:top w:val="outset" w:color="auto" w:sz="6" w:space="0"/>
              <w:left w:val="outset" w:color="auto" w:sz="6" w:space="0"/>
              <w:bottom w:val="outset" w:color="auto" w:sz="6" w:space="0"/>
              <w:right w:val="outset" w:color="auto" w:sz="6" w:space="0"/>
            </w:tcBorders>
            <w:shd w:val="clear"/>
            <w:vAlign w:val="center"/>
          </w:tcPr>
          <w:p w14:paraId="5AF28F0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0.0005</w:t>
            </w:r>
          </w:p>
        </w:tc>
      </w:tr>
      <w:tr w14:paraId="5F3422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0C77911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2.总镉</w:t>
            </w:r>
          </w:p>
        </w:tc>
        <w:tc>
          <w:tcPr>
            <w:tcW w:w="4350" w:type="dxa"/>
            <w:tcBorders>
              <w:top w:val="outset" w:color="auto" w:sz="6" w:space="0"/>
              <w:left w:val="outset" w:color="auto" w:sz="6" w:space="0"/>
              <w:bottom w:val="outset" w:color="auto" w:sz="6" w:space="0"/>
              <w:right w:val="outset" w:color="auto" w:sz="6" w:space="0"/>
            </w:tcBorders>
            <w:shd w:val="clear"/>
            <w:vAlign w:val="center"/>
          </w:tcPr>
          <w:p w14:paraId="5FC9083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0.005</w:t>
            </w:r>
          </w:p>
        </w:tc>
      </w:tr>
      <w:tr w14:paraId="575FD8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6294895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3.总铬</w:t>
            </w:r>
          </w:p>
        </w:tc>
        <w:tc>
          <w:tcPr>
            <w:tcW w:w="4350" w:type="dxa"/>
            <w:tcBorders>
              <w:top w:val="outset" w:color="auto" w:sz="6" w:space="0"/>
              <w:left w:val="outset" w:color="auto" w:sz="6" w:space="0"/>
              <w:bottom w:val="outset" w:color="auto" w:sz="6" w:space="0"/>
              <w:right w:val="outset" w:color="auto" w:sz="6" w:space="0"/>
            </w:tcBorders>
            <w:shd w:val="clear"/>
            <w:vAlign w:val="center"/>
          </w:tcPr>
          <w:p w14:paraId="42B1374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0.04</w:t>
            </w:r>
          </w:p>
        </w:tc>
      </w:tr>
      <w:tr w14:paraId="11C338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27AF8CC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4.六价铬</w:t>
            </w:r>
          </w:p>
        </w:tc>
        <w:tc>
          <w:tcPr>
            <w:tcW w:w="4350" w:type="dxa"/>
            <w:tcBorders>
              <w:top w:val="outset" w:color="auto" w:sz="6" w:space="0"/>
              <w:left w:val="outset" w:color="auto" w:sz="6" w:space="0"/>
              <w:bottom w:val="outset" w:color="auto" w:sz="6" w:space="0"/>
              <w:right w:val="outset" w:color="auto" w:sz="6" w:space="0"/>
            </w:tcBorders>
            <w:shd w:val="clear"/>
            <w:vAlign w:val="center"/>
          </w:tcPr>
          <w:p w14:paraId="5C646E0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r>
      <w:tr w14:paraId="259EA5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71BA4FF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5.总砷</w:t>
            </w:r>
          </w:p>
        </w:tc>
        <w:tc>
          <w:tcPr>
            <w:tcW w:w="4350" w:type="dxa"/>
            <w:tcBorders>
              <w:top w:val="outset" w:color="auto" w:sz="6" w:space="0"/>
              <w:left w:val="outset" w:color="auto" w:sz="6" w:space="0"/>
              <w:bottom w:val="outset" w:color="auto" w:sz="6" w:space="0"/>
              <w:right w:val="outset" w:color="auto" w:sz="6" w:space="0"/>
            </w:tcBorders>
            <w:shd w:val="clear"/>
            <w:vAlign w:val="center"/>
          </w:tcPr>
          <w:p w14:paraId="5221B7F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r>
      <w:tr w14:paraId="14E166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465B6AD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6.总铅</w:t>
            </w:r>
          </w:p>
        </w:tc>
        <w:tc>
          <w:tcPr>
            <w:tcW w:w="4350" w:type="dxa"/>
            <w:tcBorders>
              <w:top w:val="outset" w:color="auto" w:sz="6" w:space="0"/>
              <w:left w:val="outset" w:color="auto" w:sz="6" w:space="0"/>
              <w:bottom w:val="outset" w:color="auto" w:sz="6" w:space="0"/>
              <w:right w:val="outset" w:color="auto" w:sz="6" w:space="0"/>
            </w:tcBorders>
            <w:shd w:val="clear"/>
            <w:vAlign w:val="center"/>
          </w:tcPr>
          <w:p w14:paraId="51E0E69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0.025</w:t>
            </w:r>
          </w:p>
        </w:tc>
      </w:tr>
      <w:tr w14:paraId="071F59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708B156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7.总镍</w:t>
            </w:r>
          </w:p>
        </w:tc>
        <w:tc>
          <w:tcPr>
            <w:tcW w:w="4350" w:type="dxa"/>
            <w:tcBorders>
              <w:top w:val="outset" w:color="auto" w:sz="6" w:space="0"/>
              <w:left w:val="outset" w:color="auto" w:sz="6" w:space="0"/>
              <w:bottom w:val="outset" w:color="auto" w:sz="6" w:space="0"/>
              <w:right w:val="outset" w:color="auto" w:sz="6" w:space="0"/>
            </w:tcBorders>
            <w:shd w:val="clear"/>
            <w:vAlign w:val="center"/>
          </w:tcPr>
          <w:p w14:paraId="0AB9657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0.025</w:t>
            </w:r>
          </w:p>
        </w:tc>
      </w:tr>
      <w:tr w14:paraId="5775BB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65742AF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8.苯并（a）芘</w:t>
            </w:r>
          </w:p>
        </w:tc>
        <w:tc>
          <w:tcPr>
            <w:tcW w:w="4350" w:type="dxa"/>
            <w:tcBorders>
              <w:top w:val="outset" w:color="auto" w:sz="6" w:space="0"/>
              <w:left w:val="outset" w:color="auto" w:sz="6" w:space="0"/>
              <w:bottom w:val="outset" w:color="auto" w:sz="6" w:space="0"/>
              <w:right w:val="outset" w:color="auto" w:sz="6" w:space="0"/>
            </w:tcBorders>
            <w:shd w:val="clear"/>
            <w:vAlign w:val="center"/>
          </w:tcPr>
          <w:p w14:paraId="5782D55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0.0000003</w:t>
            </w:r>
          </w:p>
        </w:tc>
      </w:tr>
      <w:tr w14:paraId="5F6801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349A1CA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9.总铍</w:t>
            </w:r>
          </w:p>
        </w:tc>
        <w:tc>
          <w:tcPr>
            <w:tcW w:w="4350" w:type="dxa"/>
            <w:tcBorders>
              <w:top w:val="outset" w:color="auto" w:sz="6" w:space="0"/>
              <w:left w:val="outset" w:color="auto" w:sz="6" w:space="0"/>
              <w:bottom w:val="outset" w:color="auto" w:sz="6" w:space="0"/>
              <w:right w:val="outset" w:color="auto" w:sz="6" w:space="0"/>
            </w:tcBorders>
            <w:shd w:val="clear"/>
            <w:vAlign w:val="center"/>
          </w:tcPr>
          <w:p w14:paraId="63D82F8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0.01</w:t>
            </w:r>
          </w:p>
        </w:tc>
      </w:tr>
      <w:tr w14:paraId="4FCB37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740" w:type="dxa"/>
            <w:tcBorders>
              <w:top w:val="outset" w:color="auto" w:sz="6" w:space="0"/>
              <w:left w:val="outset" w:color="auto" w:sz="6" w:space="0"/>
              <w:bottom w:val="outset" w:color="auto" w:sz="6" w:space="0"/>
              <w:right w:val="outset" w:color="auto" w:sz="6" w:space="0"/>
            </w:tcBorders>
            <w:shd w:val="clear"/>
            <w:vAlign w:val="center"/>
          </w:tcPr>
          <w:p w14:paraId="501361A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10.总银</w:t>
            </w:r>
          </w:p>
        </w:tc>
        <w:tc>
          <w:tcPr>
            <w:tcW w:w="4360" w:type="dxa"/>
            <w:tcBorders>
              <w:top w:val="outset" w:color="auto" w:sz="6" w:space="0"/>
              <w:left w:val="outset" w:color="auto" w:sz="6" w:space="0"/>
              <w:bottom w:val="outset" w:color="auto" w:sz="6" w:space="0"/>
              <w:right w:val="outset" w:color="auto" w:sz="6" w:space="0"/>
            </w:tcBorders>
            <w:shd w:val="clear"/>
            <w:vAlign w:val="center"/>
          </w:tcPr>
          <w:p w14:paraId="0417E75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r>
    </w:tbl>
    <w:p w14:paraId="6CC6AFC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306821FA">
      <w:pPr>
        <w:pStyle w:val="9"/>
        <w:keepNext w:val="0"/>
        <w:keepLines w:val="0"/>
        <w:widowControl/>
        <w:suppressLineNumbers w:val="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r>
        <w:rPr>
          <w:rStyle w:val="12"/>
          <w:rFonts w:hint="eastAsia" w:ascii="微软雅黑" w:hAnsi="微软雅黑" w:eastAsia="微软雅黑" w:cs="微软雅黑"/>
          <w:color w:val="333333"/>
          <w:sz w:val="27"/>
          <w:szCs w:val="27"/>
        </w:rPr>
        <w:t>二、第二类水污染物污染当量值</w:t>
      </w:r>
    </w:p>
    <w:tbl>
      <w:tblPr>
        <w:tblW w:w="808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3133"/>
        <w:gridCol w:w="2317"/>
        <w:gridCol w:w="2630"/>
      </w:tblGrid>
      <w:tr w14:paraId="03C4C3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90" w:hRule="atLeast"/>
        </w:trPr>
        <w:tc>
          <w:tcPr>
            <w:tcW w:w="3110" w:type="dxa"/>
            <w:tcBorders>
              <w:top w:val="outset" w:color="auto" w:sz="6" w:space="0"/>
              <w:left w:val="outset" w:color="auto" w:sz="6" w:space="0"/>
              <w:bottom w:val="outset" w:color="auto" w:sz="6" w:space="0"/>
              <w:right w:val="outset" w:color="auto" w:sz="6" w:space="0"/>
            </w:tcBorders>
            <w:shd w:val="clear"/>
            <w:vAlign w:val="center"/>
          </w:tcPr>
          <w:p w14:paraId="68893C80">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污　染　物</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050552CB">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污染当量值（千克）</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389707A5">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备　　注</w:t>
            </w:r>
          </w:p>
        </w:tc>
      </w:tr>
      <w:tr w14:paraId="00DE73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22A0BA0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11.悬浮物（SS）</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21302CA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34B3E86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23E2AB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5133115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12.生化需氧量（BOD</w:t>
            </w:r>
            <w:r>
              <w:rPr>
                <w:rFonts w:hint="eastAsia" w:ascii="微软雅黑" w:hAnsi="微软雅黑" w:eastAsia="微软雅黑" w:cs="微软雅黑"/>
                <w:color w:val="333333"/>
                <w:sz w:val="27"/>
                <w:szCs w:val="27"/>
                <w:vertAlign w:val="subscript"/>
              </w:rPr>
              <w:t>5</w:t>
            </w:r>
            <w:r>
              <w:rPr>
                <w:rFonts w:hint="eastAsia" w:ascii="微软雅黑" w:hAnsi="微软雅黑" w:eastAsia="微软雅黑" w:cs="微软雅黑"/>
                <w:color w:val="333333"/>
                <w:sz w:val="27"/>
                <w:szCs w:val="27"/>
              </w:rPr>
              <w:t>）</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2A79975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0.5</w:t>
            </w:r>
          </w:p>
        </w:tc>
        <w:tc>
          <w:tcPr>
            <w:tcW w:w="2600" w:type="dxa"/>
            <w:vMerge w:val="restart"/>
            <w:tcBorders>
              <w:top w:val="outset" w:color="auto" w:sz="6" w:space="0"/>
              <w:left w:val="outset" w:color="auto" w:sz="6" w:space="0"/>
              <w:bottom w:val="outset" w:color="auto" w:sz="6" w:space="0"/>
              <w:right w:val="outset" w:color="auto" w:sz="6" w:space="0"/>
            </w:tcBorders>
            <w:shd w:val="clear"/>
            <w:vAlign w:val="center"/>
          </w:tcPr>
          <w:p w14:paraId="62612EA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同一排放口中的化学需氧量、生化需氧量和总有机碳，只征收一项。</w:t>
            </w:r>
          </w:p>
        </w:tc>
      </w:tr>
      <w:tr w14:paraId="1E3279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183ED3B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13.化学需氧量（CODcr）</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3448AC8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w:t>
            </w:r>
          </w:p>
        </w:tc>
        <w:tc>
          <w:tcPr>
            <w:tcW w:w="2600" w:type="dxa"/>
            <w:vMerge w:val="continue"/>
            <w:tcBorders>
              <w:top w:val="outset" w:color="auto" w:sz="6" w:space="0"/>
              <w:left w:val="outset" w:color="auto" w:sz="6" w:space="0"/>
              <w:bottom w:val="outset" w:color="auto" w:sz="6" w:space="0"/>
              <w:right w:val="outset" w:color="auto" w:sz="6" w:space="0"/>
            </w:tcBorders>
            <w:shd w:val="clear"/>
            <w:vAlign w:val="center"/>
          </w:tcPr>
          <w:p w14:paraId="2AD60949">
            <w:pPr>
              <w:rPr>
                <w:rFonts w:hint="eastAsia" w:ascii="宋体"/>
                <w:sz w:val="24"/>
                <w:szCs w:val="24"/>
              </w:rPr>
            </w:pPr>
          </w:p>
        </w:tc>
      </w:tr>
      <w:tr w14:paraId="70C374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90" w:hRule="atLeast"/>
        </w:trPr>
        <w:tc>
          <w:tcPr>
            <w:tcW w:w="3110" w:type="dxa"/>
            <w:tcBorders>
              <w:top w:val="outset" w:color="auto" w:sz="6" w:space="0"/>
              <w:left w:val="outset" w:color="auto" w:sz="6" w:space="0"/>
              <w:bottom w:val="outset" w:color="auto" w:sz="6" w:space="0"/>
              <w:right w:val="outset" w:color="auto" w:sz="6" w:space="0"/>
            </w:tcBorders>
            <w:shd w:val="clear"/>
            <w:vAlign w:val="center"/>
          </w:tcPr>
          <w:p w14:paraId="2BA2731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14.总有机碳（TOC）</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1DE33D6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0.49</w:t>
            </w:r>
          </w:p>
        </w:tc>
        <w:tc>
          <w:tcPr>
            <w:tcW w:w="2600" w:type="dxa"/>
            <w:vMerge w:val="continue"/>
            <w:tcBorders>
              <w:top w:val="outset" w:color="auto" w:sz="6" w:space="0"/>
              <w:left w:val="outset" w:color="auto" w:sz="6" w:space="0"/>
              <w:bottom w:val="outset" w:color="auto" w:sz="6" w:space="0"/>
              <w:right w:val="outset" w:color="auto" w:sz="6" w:space="0"/>
            </w:tcBorders>
            <w:shd w:val="clear"/>
            <w:vAlign w:val="center"/>
          </w:tcPr>
          <w:p w14:paraId="262337A6">
            <w:pPr>
              <w:rPr>
                <w:rFonts w:hint="eastAsia" w:ascii="宋体"/>
                <w:sz w:val="24"/>
                <w:szCs w:val="24"/>
              </w:rPr>
            </w:pPr>
          </w:p>
        </w:tc>
      </w:tr>
      <w:tr w14:paraId="5F846C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3EF309A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15.石油类</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4FC06A3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37DB586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5C9A80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343D829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16.动植物油</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5E36055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0.16</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7CA59C1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4F3A0C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7681948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17.挥发酚</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0F1229B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0.08</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0FEA6A7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2DD677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303E8E6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18.总氰化物</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42BC1B8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15BFC39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76A652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0725021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19.硫化物</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6C2D879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0.125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2C1A616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4118BD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6591DDD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20.氨氮</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67A96D7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0.8</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78AA137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18E97C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173DFCA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21.氟化物</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23DFB6C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0D8C8F4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5B95AB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794C1CD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22.甲醛</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4D60AEA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0.125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34A68F4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2EF8B7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7A4FAF7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23.苯胺类</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23891C7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500026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6A124E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06A2C96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24.硝基苯类</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77F79A2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E829F6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7AC613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3351200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25.阴离子表面活性剂（LAS）</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2EBDACD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2F3B1B9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7789CC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28723B1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26.总铜</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0DA9B72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3BC00DC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7FA94F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90" w:hRule="atLeast"/>
        </w:trPr>
        <w:tc>
          <w:tcPr>
            <w:tcW w:w="3110" w:type="dxa"/>
            <w:tcBorders>
              <w:top w:val="outset" w:color="auto" w:sz="6" w:space="0"/>
              <w:left w:val="outset" w:color="auto" w:sz="6" w:space="0"/>
              <w:bottom w:val="outset" w:color="auto" w:sz="6" w:space="0"/>
              <w:right w:val="outset" w:color="auto" w:sz="6" w:space="0"/>
            </w:tcBorders>
            <w:shd w:val="clear"/>
            <w:vAlign w:val="center"/>
          </w:tcPr>
          <w:p w14:paraId="3F88011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27.总锌</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5AF79F3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38B337C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4E8CB4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1EDD2D1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28.总锰</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3DD6946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50D3AAB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22BE7E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7A212E1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29.彩色显影剂（CD－2）</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645CB11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6096656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274831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6FC5F53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30.总磷</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2FF0B78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23F2134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57FF11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7442592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31.单质磷（以P计）</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6437924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1BFE469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387276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5CBE97C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32.有机磷农药（以P计）</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434FD49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2632D5A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1E6F44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62BFF4A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33.乐果</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2C48757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5B89507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75F298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5BB64A3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34.甲基对硫磷</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7FD4E61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C10DA3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3F005B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4398A10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35.马拉硫磷</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060D695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244351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41B9FC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792E571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36.对硫磷</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47ECBD3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787CC3C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61AAD1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149A3C8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37.五氯酚及五氯酚钠（以五氯酚计）</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0FD527F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1F0437F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6BA355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30D6923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38.三氯甲烷</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72CFC7F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0.04</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068F2F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49F897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1FD2960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39.可吸附有机卤化物（AOX）（以Cl计）</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2EDA9B8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0896651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2E6C03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111185E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40.四氯化碳</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6F1A7DB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0.04</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29A0E16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69EE25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55E73D9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41.三氯乙烯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340B6B6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0.04</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13B76CC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6EFC4D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7973E8F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42.四氯乙烯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0734F11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0.04</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7D7183B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2EDB20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3282312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43.苯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77C9F47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3331AAA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4415DA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7283B08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44.甲苯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33C18AD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69ABFE5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0715F4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762CF45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45.乙苯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7D0007D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0AC19A6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7C28F3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6CF43FA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46.邻－二甲苯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2FE4037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3AC0DFB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27F70B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26962AD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47.对－二甲苯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350AA8B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439BA8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13387C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6B185FF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48.间－二甲苯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63276A2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784B3DD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03BEE0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1541AD2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49.氯苯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42AB502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5C7A646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0716C2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78E8130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50.邻二氯苯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13F3DDE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16DD1C1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392A0C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0D7A62E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51.对二氯苯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50FD1B6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17F92B1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28A7DE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6832A27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52.对硝基氯苯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08F88B8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250B59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20F77C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4FB8670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53. 2，4－二硝基氯苯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66AB81F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7C26C4C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03B378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60B54F5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54.苯酚</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044C183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BE3305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61E3BA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23EF953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55.间－甲酚</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43629FD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1C6EEE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02B540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08EB41F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56. 2，4－二氯酚</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75EB53B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04F5792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718D70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5A24A0F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57. 2，4，6－三氯酚</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12E56AD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86BF90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019653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6F4E1A7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58.邻苯二甲酸二丁酯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67ADD9E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41341D2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51C2F9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683EB97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59.邻苯二甲酸二辛酯</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42C5B74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02EFAE2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5C0E90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17627DE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60.丙烯腈</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7607E72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0.125</w:t>
            </w:r>
          </w:p>
        </w:tc>
        <w:tc>
          <w:tcPr>
            <w:tcW w:w="2600" w:type="dxa"/>
            <w:tcBorders>
              <w:top w:val="outset" w:color="auto" w:sz="6" w:space="0"/>
              <w:left w:val="outset" w:color="auto" w:sz="6" w:space="0"/>
              <w:bottom w:val="outset" w:color="auto" w:sz="6" w:space="0"/>
              <w:right w:val="outset" w:color="auto" w:sz="6" w:space="0"/>
            </w:tcBorders>
            <w:shd w:val="clear"/>
            <w:vAlign w:val="center"/>
          </w:tcPr>
          <w:p w14:paraId="29C3EC8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484A15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3110" w:type="dxa"/>
            <w:tcBorders>
              <w:top w:val="outset" w:color="auto" w:sz="6" w:space="0"/>
              <w:left w:val="outset" w:color="auto" w:sz="6" w:space="0"/>
              <w:bottom w:val="outset" w:color="auto" w:sz="6" w:space="0"/>
              <w:right w:val="outset" w:color="auto" w:sz="6" w:space="0"/>
            </w:tcBorders>
            <w:shd w:val="clear"/>
            <w:vAlign w:val="center"/>
          </w:tcPr>
          <w:p w14:paraId="1BACD93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61.总硒</w:t>
            </w:r>
          </w:p>
        </w:tc>
        <w:tc>
          <w:tcPr>
            <w:tcW w:w="2300" w:type="dxa"/>
            <w:tcBorders>
              <w:top w:val="outset" w:color="auto" w:sz="6" w:space="0"/>
              <w:left w:val="outset" w:color="auto" w:sz="6" w:space="0"/>
              <w:bottom w:val="outset" w:color="auto" w:sz="6" w:space="0"/>
              <w:right w:val="outset" w:color="auto" w:sz="6" w:space="0"/>
            </w:tcBorders>
            <w:shd w:val="clear"/>
            <w:vAlign w:val="center"/>
          </w:tcPr>
          <w:p w14:paraId="5B9E1EC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c>
          <w:tcPr>
            <w:tcW w:w="2610" w:type="dxa"/>
            <w:tcBorders>
              <w:top w:val="outset" w:color="auto" w:sz="6" w:space="0"/>
              <w:left w:val="outset" w:color="auto" w:sz="6" w:space="0"/>
              <w:bottom w:val="outset" w:color="auto" w:sz="6" w:space="0"/>
              <w:right w:val="outset" w:color="auto" w:sz="6" w:space="0"/>
            </w:tcBorders>
            <w:shd w:val="clear"/>
            <w:vAlign w:val="center"/>
          </w:tcPr>
          <w:p w14:paraId="2C514B1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bl>
    <w:p w14:paraId="0D12337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2A92F953">
      <w:pPr>
        <w:pStyle w:val="9"/>
        <w:keepNext w:val="0"/>
        <w:keepLines w:val="0"/>
        <w:widowControl/>
        <w:suppressLineNumbers w:val="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r>
        <w:rPr>
          <w:rStyle w:val="12"/>
          <w:rFonts w:hint="eastAsia" w:ascii="微软雅黑" w:hAnsi="微软雅黑" w:eastAsia="微软雅黑" w:cs="微软雅黑"/>
          <w:color w:val="333333"/>
          <w:sz w:val="27"/>
          <w:szCs w:val="27"/>
        </w:rPr>
        <w:t>三、pH值、色度、大肠菌群数、余氯量水污染物污染当量值</w:t>
      </w:r>
    </w:p>
    <w:tbl>
      <w:tblPr>
        <w:tblW w:w="813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796"/>
        <w:gridCol w:w="2178"/>
        <w:gridCol w:w="2511"/>
        <w:gridCol w:w="2642"/>
      </w:tblGrid>
      <w:tr w14:paraId="6F3C8B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2950" w:type="dxa"/>
            <w:gridSpan w:val="2"/>
            <w:tcBorders>
              <w:top w:val="outset" w:color="auto" w:sz="6" w:space="0"/>
              <w:left w:val="outset" w:color="auto" w:sz="6" w:space="0"/>
              <w:bottom w:val="outset" w:color="auto" w:sz="6" w:space="0"/>
              <w:right w:val="outset" w:color="auto" w:sz="6" w:space="0"/>
            </w:tcBorders>
            <w:shd w:val="clear"/>
            <w:vAlign w:val="center"/>
          </w:tcPr>
          <w:p w14:paraId="1EDC54F0">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污　染　物</w:t>
            </w:r>
          </w:p>
        </w:tc>
        <w:tc>
          <w:tcPr>
            <w:tcW w:w="2490" w:type="dxa"/>
            <w:tcBorders>
              <w:top w:val="outset" w:color="auto" w:sz="6" w:space="0"/>
              <w:left w:val="outset" w:color="auto" w:sz="6" w:space="0"/>
              <w:bottom w:val="outset" w:color="auto" w:sz="6" w:space="0"/>
              <w:right w:val="outset" w:color="auto" w:sz="6" w:space="0"/>
            </w:tcBorders>
            <w:shd w:val="clear"/>
            <w:vAlign w:val="center"/>
          </w:tcPr>
          <w:p w14:paraId="4E872C36">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污染当量值</w:t>
            </w:r>
          </w:p>
        </w:tc>
        <w:tc>
          <w:tcPr>
            <w:tcW w:w="2620" w:type="dxa"/>
            <w:tcBorders>
              <w:top w:val="outset" w:color="auto" w:sz="6" w:space="0"/>
              <w:left w:val="outset" w:color="auto" w:sz="6" w:space="0"/>
              <w:bottom w:val="outset" w:color="auto" w:sz="6" w:space="0"/>
              <w:right w:val="outset" w:color="auto" w:sz="6" w:space="0"/>
            </w:tcBorders>
            <w:shd w:val="clear"/>
            <w:vAlign w:val="center"/>
          </w:tcPr>
          <w:p w14:paraId="7A8B3E93">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备　　注</w:t>
            </w:r>
          </w:p>
        </w:tc>
      </w:tr>
      <w:tr w14:paraId="4435FD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790" w:type="dxa"/>
            <w:tcBorders>
              <w:top w:val="outset" w:color="auto" w:sz="6" w:space="0"/>
              <w:left w:val="outset" w:color="auto" w:sz="6" w:space="0"/>
              <w:bottom w:val="outset" w:color="auto" w:sz="6" w:space="0"/>
              <w:right w:val="outset" w:color="auto" w:sz="6" w:space="0"/>
            </w:tcBorders>
            <w:shd w:val="clear"/>
            <w:vAlign w:val="center"/>
          </w:tcPr>
          <w:p w14:paraId="531EF1B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 pH值</w:t>
            </w:r>
          </w:p>
        </w:tc>
        <w:tc>
          <w:tcPr>
            <w:tcW w:w="2140" w:type="dxa"/>
            <w:tcBorders>
              <w:top w:val="outset" w:color="auto" w:sz="6" w:space="0"/>
              <w:left w:val="outset" w:color="auto" w:sz="6" w:space="0"/>
              <w:bottom w:val="outset" w:color="auto" w:sz="6" w:space="0"/>
              <w:right w:val="outset" w:color="auto" w:sz="6" w:space="0"/>
            </w:tcBorders>
            <w:shd w:val="clear"/>
            <w:vAlign w:val="center"/>
          </w:tcPr>
          <w:p w14:paraId="4F09B25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1.0－1，13－14</w:t>
            </w:r>
          </w:p>
          <w:p w14:paraId="55C9BAB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2.1－2，12－13</w:t>
            </w:r>
          </w:p>
          <w:p w14:paraId="23FB6F3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3.2－3，11－12</w:t>
            </w:r>
          </w:p>
          <w:p w14:paraId="19437CC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4.3－4，10－11</w:t>
            </w:r>
          </w:p>
          <w:p w14:paraId="570B0B2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5.4－5，9－10</w:t>
            </w:r>
          </w:p>
          <w:p w14:paraId="05148B3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6.5－6</w:t>
            </w:r>
          </w:p>
        </w:tc>
        <w:tc>
          <w:tcPr>
            <w:tcW w:w="2490" w:type="dxa"/>
            <w:tcBorders>
              <w:top w:val="outset" w:color="auto" w:sz="6" w:space="0"/>
              <w:left w:val="outset" w:color="auto" w:sz="6" w:space="0"/>
              <w:bottom w:val="outset" w:color="auto" w:sz="6" w:space="0"/>
              <w:right w:val="outset" w:color="auto" w:sz="6" w:space="0"/>
            </w:tcBorders>
            <w:shd w:val="clear"/>
            <w:vAlign w:val="center"/>
          </w:tcPr>
          <w:p w14:paraId="06F22DB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0.06吨污水</w:t>
            </w:r>
          </w:p>
          <w:p w14:paraId="5D04200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0.125吨污水</w:t>
            </w:r>
          </w:p>
          <w:p w14:paraId="4849F10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0.25吨污水</w:t>
            </w:r>
          </w:p>
          <w:p w14:paraId="4ADFF0E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0.5吨污水</w:t>
            </w:r>
          </w:p>
          <w:p w14:paraId="7C8F5AD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1吨污水</w:t>
            </w:r>
          </w:p>
          <w:p w14:paraId="41CD440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5吨污水</w:t>
            </w:r>
          </w:p>
        </w:tc>
        <w:tc>
          <w:tcPr>
            <w:tcW w:w="2620" w:type="dxa"/>
            <w:tcBorders>
              <w:top w:val="outset" w:color="auto" w:sz="6" w:space="0"/>
              <w:left w:val="outset" w:color="auto" w:sz="6" w:space="0"/>
              <w:bottom w:val="outset" w:color="auto" w:sz="6" w:space="0"/>
              <w:right w:val="outset" w:color="auto" w:sz="6" w:space="0"/>
            </w:tcBorders>
            <w:shd w:val="clear"/>
            <w:vAlign w:val="center"/>
          </w:tcPr>
          <w:p w14:paraId="186438A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pH值5－6指大于等于5，小于6；</w:t>
            </w:r>
          </w:p>
          <w:p w14:paraId="4C3B4D9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pH值9－10指大于9，小于等于10，其余类推。</w:t>
            </w:r>
          </w:p>
        </w:tc>
      </w:tr>
      <w:tr w14:paraId="1E534E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2950" w:type="dxa"/>
            <w:gridSpan w:val="2"/>
            <w:tcBorders>
              <w:top w:val="outset" w:color="auto" w:sz="6" w:space="0"/>
              <w:left w:val="outset" w:color="auto" w:sz="6" w:space="0"/>
              <w:bottom w:val="outset" w:color="auto" w:sz="6" w:space="0"/>
              <w:right w:val="outset" w:color="auto" w:sz="6" w:space="0"/>
            </w:tcBorders>
            <w:shd w:val="clear"/>
            <w:vAlign w:val="center"/>
          </w:tcPr>
          <w:p w14:paraId="7E92E97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2.色度</w:t>
            </w:r>
          </w:p>
        </w:tc>
        <w:tc>
          <w:tcPr>
            <w:tcW w:w="2490" w:type="dxa"/>
            <w:tcBorders>
              <w:top w:val="outset" w:color="auto" w:sz="6" w:space="0"/>
              <w:left w:val="outset" w:color="auto" w:sz="6" w:space="0"/>
              <w:bottom w:val="outset" w:color="auto" w:sz="6" w:space="0"/>
              <w:right w:val="outset" w:color="auto" w:sz="6" w:space="0"/>
            </w:tcBorders>
            <w:shd w:val="clear"/>
            <w:vAlign w:val="center"/>
          </w:tcPr>
          <w:p w14:paraId="6BB080D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5吨水·倍</w:t>
            </w:r>
          </w:p>
        </w:tc>
        <w:tc>
          <w:tcPr>
            <w:tcW w:w="2620" w:type="dxa"/>
            <w:tcBorders>
              <w:top w:val="outset" w:color="auto" w:sz="6" w:space="0"/>
              <w:left w:val="outset" w:color="auto" w:sz="6" w:space="0"/>
              <w:bottom w:val="outset" w:color="auto" w:sz="6" w:space="0"/>
              <w:right w:val="outset" w:color="auto" w:sz="6" w:space="0"/>
            </w:tcBorders>
            <w:shd w:val="clear"/>
            <w:vAlign w:val="center"/>
          </w:tcPr>
          <w:p w14:paraId="4EE4F03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39F31E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2950" w:type="dxa"/>
            <w:gridSpan w:val="2"/>
            <w:tcBorders>
              <w:top w:val="outset" w:color="auto" w:sz="6" w:space="0"/>
              <w:left w:val="outset" w:color="auto" w:sz="6" w:space="0"/>
              <w:bottom w:val="outset" w:color="auto" w:sz="6" w:space="0"/>
              <w:right w:val="outset" w:color="auto" w:sz="6" w:space="0"/>
            </w:tcBorders>
            <w:shd w:val="clear"/>
            <w:vAlign w:val="center"/>
          </w:tcPr>
          <w:p w14:paraId="3551D87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3.大肠菌群数（超标）</w:t>
            </w:r>
          </w:p>
        </w:tc>
        <w:tc>
          <w:tcPr>
            <w:tcW w:w="2490" w:type="dxa"/>
            <w:tcBorders>
              <w:top w:val="outset" w:color="auto" w:sz="6" w:space="0"/>
              <w:left w:val="outset" w:color="auto" w:sz="6" w:space="0"/>
              <w:bottom w:val="outset" w:color="auto" w:sz="6" w:space="0"/>
              <w:right w:val="outset" w:color="auto" w:sz="6" w:space="0"/>
            </w:tcBorders>
            <w:shd w:val="clear"/>
            <w:vAlign w:val="center"/>
          </w:tcPr>
          <w:p w14:paraId="59DC285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3.3吨污水</w:t>
            </w:r>
          </w:p>
        </w:tc>
        <w:tc>
          <w:tcPr>
            <w:tcW w:w="2620" w:type="dxa"/>
            <w:vMerge w:val="restart"/>
            <w:tcBorders>
              <w:top w:val="outset" w:color="auto" w:sz="6" w:space="0"/>
              <w:left w:val="outset" w:color="auto" w:sz="6" w:space="0"/>
              <w:bottom w:val="outset" w:color="auto" w:sz="6" w:space="0"/>
              <w:right w:val="outset" w:color="auto" w:sz="6" w:space="0"/>
            </w:tcBorders>
            <w:shd w:val="clear"/>
            <w:vAlign w:val="center"/>
          </w:tcPr>
          <w:p w14:paraId="4A82298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大肠菌群数和余氯量只征收一项。</w:t>
            </w:r>
          </w:p>
        </w:tc>
      </w:tr>
      <w:tr w14:paraId="0A57DF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2950" w:type="dxa"/>
            <w:gridSpan w:val="2"/>
            <w:tcBorders>
              <w:top w:val="outset" w:color="auto" w:sz="6" w:space="0"/>
              <w:left w:val="outset" w:color="auto" w:sz="6" w:space="0"/>
              <w:bottom w:val="outset" w:color="auto" w:sz="6" w:space="0"/>
              <w:right w:val="outset" w:color="auto" w:sz="6" w:space="0"/>
            </w:tcBorders>
            <w:shd w:val="clear"/>
            <w:vAlign w:val="center"/>
          </w:tcPr>
          <w:p w14:paraId="76806A9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4.余氯量（用氯消毒的医院废水）</w:t>
            </w:r>
          </w:p>
        </w:tc>
        <w:tc>
          <w:tcPr>
            <w:tcW w:w="2490" w:type="dxa"/>
            <w:tcBorders>
              <w:top w:val="outset" w:color="auto" w:sz="6" w:space="0"/>
              <w:left w:val="outset" w:color="auto" w:sz="6" w:space="0"/>
              <w:bottom w:val="outset" w:color="auto" w:sz="6" w:space="0"/>
              <w:right w:val="outset" w:color="auto" w:sz="6" w:space="0"/>
            </w:tcBorders>
            <w:shd w:val="clear"/>
            <w:vAlign w:val="center"/>
          </w:tcPr>
          <w:p w14:paraId="36B18D5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3.3吨污水</w:t>
            </w:r>
          </w:p>
        </w:tc>
        <w:tc>
          <w:tcPr>
            <w:tcW w:w="2620" w:type="dxa"/>
            <w:vMerge w:val="continue"/>
            <w:tcBorders>
              <w:top w:val="outset" w:color="auto" w:sz="6" w:space="0"/>
              <w:left w:val="outset" w:color="auto" w:sz="6" w:space="0"/>
              <w:bottom w:val="outset" w:color="auto" w:sz="6" w:space="0"/>
              <w:right w:val="outset" w:color="auto" w:sz="6" w:space="0"/>
            </w:tcBorders>
            <w:shd w:val="clear"/>
            <w:vAlign w:val="center"/>
          </w:tcPr>
          <w:p w14:paraId="4D110782">
            <w:pPr>
              <w:rPr>
                <w:rFonts w:hint="eastAsia" w:ascii="宋体"/>
                <w:sz w:val="24"/>
                <w:szCs w:val="24"/>
              </w:rPr>
            </w:pPr>
          </w:p>
        </w:tc>
      </w:tr>
    </w:tbl>
    <w:p w14:paraId="33F0352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4FAEEE7F">
      <w:pPr>
        <w:pStyle w:val="9"/>
        <w:keepNext w:val="0"/>
        <w:keepLines w:val="0"/>
        <w:widowControl/>
        <w:suppressLineNumbers w:val="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r>
        <w:rPr>
          <w:rStyle w:val="12"/>
          <w:rFonts w:hint="eastAsia" w:ascii="微软雅黑" w:hAnsi="微软雅黑" w:eastAsia="微软雅黑" w:cs="微软雅黑"/>
          <w:color w:val="333333"/>
          <w:sz w:val="27"/>
          <w:szCs w:val="27"/>
        </w:rPr>
        <w:t>四、禽畜养殖业、小型企业和第三产业水污染物污染当量值</w:t>
      </w:r>
    </w:p>
    <w:p w14:paraId="2FABFB77">
      <w:pPr>
        <w:pStyle w:val="9"/>
        <w:keepNext w:val="0"/>
        <w:keepLines w:val="0"/>
        <w:widowControl/>
        <w:suppressLineNumbers w:val="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（本表仅适用于计算无法进行实际监测或者物料衡算的禽畜养殖业、小型企业和第三产业等小型排污者的水污染物污染当量数）</w:t>
      </w:r>
    </w:p>
    <w:p w14:paraId="56EAF1C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bl>
      <w:tblPr>
        <w:tblW w:w="823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1018"/>
        <w:gridCol w:w="1855"/>
        <w:gridCol w:w="1916"/>
        <w:gridCol w:w="3439"/>
      </w:tblGrid>
      <w:tr w14:paraId="044028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2850" w:type="dxa"/>
            <w:gridSpan w:val="2"/>
            <w:tcBorders>
              <w:top w:val="outset" w:color="auto" w:sz="6" w:space="0"/>
              <w:left w:val="outset" w:color="auto" w:sz="6" w:space="0"/>
              <w:bottom w:val="outset" w:color="auto" w:sz="6" w:space="0"/>
              <w:right w:val="outset" w:color="auto" w:sz="6" w:space="0"/>
            </w:tcBorders>
            <w:shd w:val="clear"/>
            <w:vAlign w:val="center"/>
          </w:tcPr>
          <w:p w14:paraId="67985594">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类　　型</w:t>
            </w:r>
          </w:p>
        </w:tc>
        <w:tc>
          <w:tcPr>
            <w:tcW w:w="1900" w:type="dxa"/>
            <w:tcBorders>
              <w:top w:val="outset" w:color="auto" w:sz="6" w:space="0"/>
              <w:left w:val="outset" w:color="auto" w:sz="6" w:space="0"/>
              <w:bottom w:val="outset" w:color="auto" w:sz="6" w:space="0"/>
              <w:right w:val="outset" w:color="auto" w:sz="6" w:space="0"/>
            </w:tcBorders>
            <w:shd w:val="clear"/>
            <w:vAlign w:val="center"/>
          </w:tcPr>
          <w:p w14:paraId="7DCEB605">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污染当量值</w:t>
            </w:r>
          </w:p>
        </w:tc>
        <w:tc>
          <w:tcPr>
            <w:tcW w:w="3410" w:type="dxa"/>
            <w:tcBorders>
              <w:top w:val="outset" w:color="auto" w:sz="6" w:space="0"/>
              <w:left w:val="outset" w:color="auto" w:sz="6" w:space="0"/>
              <w:bottom w:val="outset" w:color="auto" w:sz="6" w:space="0"/>
              <w:right w:val="outset" w:color="auto" w:sz="6" w:space="0"/>
            </w:tcBorders>
            <w:shd w:val="clear"/>
            <w:vAlign w:val="center"/>
          </w:tcPr>
          <w:p w14:paraId="31514E98">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备　　注</w:t>
            </w:r>
          </w:p>
        </w:tc>
      </w:tr>
      <w:tr w14:paraId="4767D8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1010" w:type="dxa"/>
            <w:vMerge w:val="restart"/>
            <w:tcBorders>
              <w:top w:val="outset" w:color="auto" w:sz="6" w:space="0"/>
              <w:left w:val="outset" w:color="auto" w:sz="6" w:space="0"/>
              <w:bottom w:val="outset" w:color="auto" w:sz="6" w:space="0"/>
              <w:right w:val="outset" w:color="auto" w:sz="6" w:space="0"/>
            </w:tcBorders>
            <w:shd w:val="clear"/>
            <w:vAlign w:val="center"/>
          </w:tcPr>
          <w:p w14:paraId="1FE13B0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禽畜养殖场</w:t>
            </w:r>
          </w:p>
        </w:tc>
        <w:tc>
          <w:tcPr>
            <w:tcW w:w="1820" w:type="dxa"/>
            <w:tcBorders>
              <w:top w:val="outset" w:color="auto" w:sz="6" w:space="0"/>
              <w:left w:val="outset" w:color="auto" w:sz="6" w:space="0"/>
              <w:bottom w:val="outset" w:color="auto" w:sz="6" w:space="0"/>
              <w:right w:val="outset" w:color="auto" w:sz="6" w:space="0"/>
            </w:tcBorders>
            <w:shd w:val="clear"/>
            <w:vAlign w:val="center"/>
          </w:tcPr>
          <w:p w14:paraId="5FABCD3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1.牛</w:t>
            </w:r>
          </w:p>
        </w:tc>
        <w:tc>
          <w:tcPr>
            <w:tcW w:w="1900" w:type="dxa"/>
            <w:tcBorders>
              <w:top w:val="outset" w:color="auto" w:sz="6" w:space="0"/>
              <w:left w:val="outset" w:color="auto" w:sz="6" w:space="0"/>
              <w:bottom w:val="outset" w:color="auto" w:sz="6" w:space="0"/>
              <w:right w:val="outset" w:color="auto" w:sz="6" w:space="0"/>
            </w:tcBorders>
            <w:shd w:val="clear"/>
            <w:vAlign w:val="center"/>
          </w:tcPr>
          <w:p w14:paraId="0D3992F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0.1头</w:t>
            </w:r>
          </w:p>
        </w:tc>
        <w:tc>
          <w:tcPr>
            <w:tcW w:w="3410" w:type="dxa"/>
            <w:vMerge w:val="restart"/>
            <w:tcBorders>
              <w:top w:val="outset" w:color="auto" w:sz="6" w:space="0"/>
              <w:left w:val="outset" w:color="auto" w:sz="6" w:space="0"/>
              <w:bottom w:val="outset" w:color="auto" w:sz="6" w:space="0"/>
              <w:right w:val="outset" w:color="auto" w:sz="6" w:space="0"/>
            </w:tcBorders>
            <w:shd w:val="clear"/>
            <w:vAlign w:val="center"/>
          </w:tcPr>
          <w:p w14:paraId="2DD5E92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仅对存栏规模大于50头牛、500头猪、5000羽鸡鸭等的禽畜养殖场征收。</w:t>
            </w:r>
          </w:p>
        </w:tc>
      </w:tr>
      <w:tr w14:paraId="034A08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1010" w:type="dxa"/>
            <w:vMerge w:val="continue"/>
            <w:tcBorders>
              <w:top w:val="outset" w:color="auto" w:sz="6" w:space="0"/>
              <w:left w:val="outset" w:color="auto" w:sz="6" w:space="0"/>
              <w:bottom w:val="outset" w:color="auto" w:sz="6" w:space="0"/>
              <w:right w:val="outset" w:color="auto" w:sz="6" w:space="0"/>
            </w:tcBorders>
            <w:shd w:val="clear"/>
            <w:vAlign w:val="center"/>
          </w:tcPr>
          <w:p w14:paraId="4855C983">
            <w:pPr>
              <w:rPr>
                <w:rFonts w:hint="eastAsia" w:ascii="宋体"/>
                <w:sz w:val="24"/>
                <w:szCs w:val="24"/>
              </w:rPr>
            </w:pPr>
          </w:p>
        </w:tc>
        <w:tc>
          <w:tcPr>
            <w:tcW w:w="1820" w:type="dxa"/>
            <w:tcBorders>
              <w:top w:val="outset" w:color="auto" w:sz="6" w:space="0"/>
              <w:left w:val="outset" w:color="auto" w:sz="6" w:space="0"/>
              <w:bottom w:val="outset" w:color="auto" w:sz="6" w:space="0"/>
              <w:right w:val="outset" w:color="auto" w:sz="6" w:space="0"/>
            </w:tcBorders>
            <w:shd w:val="clear"/>
            <w:vAlign w:val="center"/>
          </w:tcPr>
          <w:p w14:paraId="4792DB9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2.猪</w:t>
            </w:r>
          </w:p>
        </w:tc>
        <w:tc>
          <w:tcPr>
            <w:tcW w:w="1900" w:type="dxa"/>
            <w:tcBorders>
              <w:top w:val="outset" w:color="auto" w:sz="6" w:space="0"/>
              <w:left w:val="outset" w:color="auto" w:sz="6" w:space="0"/>
              <w:bottom w:val="outset" w:color="auto" w:sz="6" w:space="0"/>
              <w:right w:val="outset" w:color="auto" w:sz="6" w:space="0"/>
            </w:tcBorders>
            <w:shd w:val="clear"/>
            <w:vAlign w:val="center"/>
          </w:tcPr>
          <w:p w14:paraId="2F3A05A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1头</w:t>
            </w:r>
          </w:p>
        </w:tc>
        <w:tc>
          <w:tcPr>
            <w:tcW w:w="3410" w:type="dxa"/>
            <w:vMerge w:val="continue"/>
            <w:tcBorders>
              <w:top w:val="outset" w:color="auto" w:sz="6" w:space="0"/>
              <w:left w:val="outset" w:color="auto" w:sz="6" w:space="0"/>
              <w:bottom w:val="outset" w:color="auto" w:sz="6" w:space="0"/>
              <w:right w:val="outset" w:color="auto" w:sz="6" w:space="0"/>
            </w:tcBorders>
            <w:shd w:val="clear"/>
            <w:vAlign w:val="center"/>
          </w:tcPr>
          <w:p w14:paraId="681A3326">
            <w:pPr>
              <w:rPr>
                <w:rFonts w:hint="eastAsia" w:ascii="宋体"/>
                <w:sz w:val="24"/>
                <w:szCs w:val="24"/>
              </w:rPr>
            </w:pPr>
          </w:p>
        </w:tc>
      </w:tr>
      <w:tr w14:paraId="4663D9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1010" w:type="dxa"/>
            <w:vMerge w:val="continue"/>
            <w:tcBorders>
              <w:top w:val="outset" w:color="auto" w:sz="6" w:space="0"/>
              <w:left w:val="outset" w:color="auto" w:sz="6" w:space="0"/>
              <w:bottom w:val="outset" w:color="auto" w:sz="6" w:space="0"/>
              <w:right w:val="outset" w:color="auto" w:sz="6" w:space="0"/>
            </w:tcBorders>
            <w:shd w:val="clear"/>
            <w:vAlign w:val="center"/>
          </w:tcPr>
          <w:p w14:paraId="63CB70D3">
            <w:pPr>
              <w:rPr>
                <w:rFonts w:hint="eastAsia" w:ascii="宋体"/>
                <w:sz w:val="24"/>
                <w:szCs w:val="24"/>
              </w:rPr>
            </w:pPr>
          </w:p>
        </w:tc>
        <w:tc>
          <w:tcPr>
            <w:tcW w:w="1820" w:type="dxa"/>
            <w:tcBorders>
              <w:top w:val="outset" w:color="auto" w:sz="6" w:space="0"/>
              <w:left w:val="outset" w:color="auto" w:sz="6" w:space="0"/>
              <w:bottom w:val="outset" w:color="auto" w:sz="6" w:space="0"/>
              <w:right w:val="outset" w:color="auto" w:sz="6" w:space="0"/>
            </w:tcBorders>
            <w:shd w:val="clear"/>
            <w:vAlign w:val="center"/>
          </w:tcPr>
          <w:p w14:paraId="1612BCE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3.鸡、鸭等家禽</w:t>
            </w:r>
          </w:p>
        </w:tc>
        <w:tc>
          <w:tcPr>
            <w:tcW w:w="1900" w:type="dxa"/>
            <w:tcBorders>
              <w:top w:val="outset" w:color="auto" w:sz="6" w:space="0"/>
              <w:left w:val="outset" w:color="auto" w:sz="6" w:space="0"/>
              <w:bottom w:val="outset" w:color="auto" w:sz="6" w:space="0"/>
              <w:right w:val="outset" w:color="auto" w:sz="6" w:space="0"/>
            </w:tcBorders>
            <w:shd w:val="clear"/>
            <w:vAlign w:val="center"/>
          </w:tcPr>
          <w:p w14:paraId="3C5073B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30羽</w:t>
            </w:r>
          </w:p>
        </w:tc>
        <w:tc>
          <w:tcPr>
            <w:tcW w:w="3410" w:type="dxa"/>
            <w:vMerge w:val="continue"/>
            <w:tcBorders>
              <w:top w:val="outset" w:color="auto" w:sz="6" w:space="0"/>
              <w:left w:val="outset" w:color="auto" w:sz="6" w:space="0"/>
              <w:bottom w:val="outset" w:color="auto" w:sz="6" w:space="0"/>
              <w:right w:val="outset" w:color="auto" w:sz="6" w:space="0"/>
            </w:tcBorders>
            <w:shd w:val="clear"/>
            <w:vAlign w:val="center"/>
          </w:tcPr>
          <w:p w14:paraId="1FC02786">
            <w:pPr>
              <w:rPr>
                <w:rFonts w:hint="eastAsia" w:ascii="宋体"/>
                <w:sz w:val="24"/>
                <w:szCs w:val="24"/>
              </w:rPr>
            </w:pPr>
          </w:p>
        </w:tc>
      </w:tr>
      <w:tr w14:paraId="796879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2850" w:type="dxa"/>
            <w:gridSpan w:val="2"/>
            <w:tcBorders>
              <w:top w:val="outset" w:color="auto" w:sz="6" w:space="0"/>
              <w:left w:val="outset" w:color="auto" w:sz="6" w:space="0"/>
              <w:bottom w:val="outset" w:color="auto" w:sz="6" w:space="0"/>
              <w:right w:val="outset" w:color="auto" w:sz="6" w:space="0"/>
            </w:tcBorders>
            <w:shd w:val="clear"/>
            <w:vAlign w:val="center"/>
          </w:tcPr>
          <w:p w14:paraId="1FC490F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4.小型企业</w:t>
            </w:r>
          </w:p>
        </w:tc>
        <w:tc>
          <w:tcPr>
            <w:tcW w:w="1900" w:type="dxa"/>
            <w:tcBorders>
              <w:top w:val="outset" w:color="auto" w:sz="6" w:space="0"/>
              <w:left w:val="outset" w:color="auto" w:sz="6" w:space="0"/>
              <w:bottom w:val="outset" w:color="auto" w:sz="6" w:space="0"/>
              <w:right w:val="outset" w:color="auto" w:sz="6" w:space="0"/>
            </w:tcBorders>
            <w:shd w:val="clear"/>
            <w:vAlign w:val="center"/>
          </w:tcPr>
          <w:p w14:paraId="4CEE408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1.8吨污水</w:t>
            </w:r>
          </w:p>
        </w:tc>
        <w:tc>
          <w:tcPr>
            <w:tcW w:w="3410" w:type="dxa"/>
            <w:tcBorders>
              <w:top w:val="outset" w:color="auto" w:sz="6" w:space="0"/>
              <w:left w:val="outset" w:color="auto" w:sz="6" w:space="0"/>
              <w:bottom w:val="outset" w:color="auto" w:sz="6" w:space="0"/>
              <w:right w:val="outset" w:color="auto" w:sz="6" w:space="0"/>
            </w:tcBorders>
            <w:shd w:val="clear"/>
            <w:vAlign w:val="center"/>
          </w:tcPr>
          <w:p w14:paraId="55A7FAE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673245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2850" w:type="dxa"/>
            <w:gridSpan w:val="2"/>
            <w:tcBorders>
              <w:top w:val="outset" w:color="auto" w:sz="6" w:space="0"/>
              <w:left w:val="outset" w:color="auto" w:sz="6" w:space="0"/>
              <w:bottom w:val="outset" w:color="auto" w:sz="6" w:space="0"/>
              <w:right w:val="outset" w:color="auto" w:sz="6" w:space="0"/>
            </w:tcBorders>
            <w:shd w:val="clear"/>
            <w:vAlign w:val="center"/>
          </w:tcPr>
          <w:p w14:paraId="114D6F5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5.饮食娱乐服务业</w:t>
            </w:r>
          </w:p>
        </w:tc>
        <w:tc>
          <w:tcPr>
            <w:tcW w:w="1900" w:type="dxa"/>
            <w:tcBorders>
              <w:top w:val="outset" w:color="auto" w:sz="6" w:space="0"/>
              <w:left w:val="outset" w:color="auto" w:sz="6" w:space="0"/>
              <w:bottom w:val="outset" w:color="auto" w:sz="6" w:space="0"/>
              <w:right w:val="outset" w:color="auto" w:sz="6" w:space="0"/>
            </w:tcBorders>
            <w:shd w:val="clear"/>
            <w:vAlign w:val="center"/>
          </w:tcPr>
          <w:p w14:paraId="3E97293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0.5吨污水</w:t>
            </w:r>
          </w:p>
        </w:tc>
        <w:tc>
          <w:tcPr>
            <w:tcW w:w="3410" w:type="dxa"/>
            <w:tcBorders>
              <w:top w:val="outset" w:color="auto" w:sz="6" w:space="0"/>
              <w:left w:val="outset" w:color="auto" w:sz="6" w:space="0"/>
              <w:bottom w:val="outset" w:color="auto" w:sz="6" w:space="0"/>
              <w:right w:val="outset" w:color="auto" w:sz="6" w:space="0"/>
            </w:tcBorders>
            <w:shd w:val="clear"/>
            <w:vAlign w:val="center"/>
          </w:tcPr>
          <w:p w14:paraId="72A846B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tc>
      </w:tr>
      <w:tr w14:paraId="398517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1010" w:type="dxa"/>
            <w:vMerge w:val="restart"/>
            <w:tcBorders>
              <w:top w:val="outset" w:color="auto" w:sz="6" w:space="0"/>
              <w:left w:val="outset" w:color="auto" w:sz="6" w:space="0"/>
              <w:bottom w:val="outset" w:color="auto" w:sz="6" w:space="0"/>
              <w:right w:val="outset" w:color="auto" w:sz="6" w:space="0"/>
            </w:tcBorders>
            <w:shd w:val="clear"/>
            <w:vAlign w:val="center"/>
          </w:tcPr>
          <w:p w14:paraId="07000E3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6.医院</w:t>
            </w:r>
          </w:p>
        </w:tc>
        <w:tc>
          <w:tcPr>
            <w:tcW w:w="1820" w:type="dxa"/>
            <w:vMerge w:val="restart"/>
            <w:tcBorders>
              <w:top w:val="outset" w:color="auto" w:sz="6" w:space="0"/>
              <w:left w:val="outset" w:color="auto" w:sz="6" w:space="0"/>
              <w:bottom w:val="outset" w:color="auto" w:sz="6" w:space="0"/>
              <w:right w:val="outset" w:color="auto" w:sz="6" w:space="0"/>
            </w:tcBorders>
            <w:shd w:val="clear"/>
            <w:vAlign w:val="center"/>
          </w:tcPr>
          <w:p w14:paraId="43256EF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消毒</w:t>
            </w:r>
          </w:p>
        </w:tc>
        <w:tc>
          <w:tcPr>
            <w:tcW w:w="1900" w:type="dxa"/>
            <w:tcBorders>
              <w:top w:val="outset" w:color="auto" w:sz="6" w:space="0"/>
              <w:left w:val="outset" w:color="auto" w:sz="6" w:space="0"/>
              <w:bottom w:val="outset" w:color="auto" w:sz="6" w:space="0"/>
              <w:right w:val="outset" w:color="auto" w:sz="6" w:space="0"/>
            </w:tcBorders>
            <w:shd w:val="clear"/>
            <w:vAlign w:val="center"/>
          </w:tcPr>
          <w:p w14:paraId="7909736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0.14床</w:t>
            </w:r>
          </w:p>
        </w:tc>
        <w:tc>
          <w:tcPr>
            <w:tcW w:w="3410" w:type="dxa"/>
            <w:vMerge w:val="restart"/>
            <w:tcBorders>
              <w:top w:val="outset" w:color="auto" w:sz="6" w:space="0"/>
              <w:left w:val="outset" w:color="auto" w:sz="6" w:space="0"/>
              <w:bottom w:val="outset" w:color="auto" w:sz="6" w:space="0"/>
              <w:right w:val="outset" w:color="auto" w:sz="6" w:space="0"/>
            </w:tcBorders>
            <w:shd w:val="clear"/>
            <w:vAlign w:val="center"/>
          </w:tcPr>
          <w:p w14:paraId="391C64B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医院病床数大于20张的按照本表计算污染当量数。</w:t>
            </w:r>
          </w:p>
        </w:tc>
      </w:tr>
      <w:tr w14:paraId="6364F7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1010" w:type="dxa"/>
            <w:vMerge w:val="continue"/>
            <w:tcBorders>
              <w:top w:val="outset" w:color="auto" w:sz="6" w:space="0"/>
              <w:left w:val="outset" w:color="auto" w:sz="6" w:space="0"/>
              <w:bottom w:val="outset" w:color="auto" w:sz="6" w:space="0"/>
              <w:right w:val="outset" w:color="auto" w:sz="6" w:space="0"/>
            </w:tcBorders>
            <w:shd w:val="clear"/>
            <w:vAlign w:val="center"/>
          </w:tcPr>
          <w:p w14:paraId="51AAD896">
            <w:pPr>
              <w:rPr>
                <w:rFonts w:hint="eastAsia" w:ascii="宋体"/>
                <w:sz w:val="24"/>
                <w:szCs w:val="24"/>
              </w:rPr>
            </w:pPr>
          </w:p>
        </w:tc>
        <w:tc>
          <w:tcPr>
            <w:tcW w:w="1820" w:type="dxa"/>
            <w:vMerge w:val="continue"/>
            <w:tcBorders>
              <w:top w:val="outset" w:color="auto" w:sz="6" w:space="0"/>
              <w:left w:val="outset" w:color="auto" w:sz="6" w:space="0"/>
              <w:bottom w:val="outset" w:color="auto" w:sz="6" w:space="0"/>
              <w:right w:val="outset" w:color="auto" w:sz="6" w:space="0"/>
            </w:tcBorders>
            <w:shd w:val="clear"/>
            <w:vAlign w:val="center"/>
          </w:tcPr>
          <w:p w14:paraId="1D73D61A">
            <w:pPr>
              <w:rPr>
                <w:rFonts w:hint="eastAsia" w:ascii="宋体"/>
                <w:sz w:val="24"/>
                <w:szCs w:val="24"/>
              </w:rPr>
            </w:pPr>
          </w:p>
        </w:tc>
        <w:tc>
          <w:tcPr>
            <w:tcW w:w="1900" w:type="dxa"/>
            <w:tcBorders>
              <w:top w:val="outset" w:color="auto" w:sz="6" w:space="0"/>
              <w:left w:val="outset" w:color="auto" w:sz="6" w:space="0"/>
              <w:bottom w:val="outset" w:color="auto" w:sz="6" w:space="0"/>
              <w:right w:val="outset" w:color="auto" w:sz="6" w:space="0"/>
            </w:tcBorders>
            <w:shd w:val="clear"/>
            <w:vAlign w:val="center"/>
          </w:tcPr>
          <w:p w14:paraId="47B00D9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2.8吨污水</w:t>
            </w:r>
          </w:p>
        </w:tc>
        <w:tc>
          <w:tcPr>
            <w:tcW w:w="3410" w:type="dxa"/>
            <w:vMerge w:val="continue"/>
            <w:tcBorders>
              <w:top w:val="outset" w:color="auto" w:sz="6" w:space="0"/>
              <w:left w:val="outset" w:color="auto" w:sz="6" w:space="0"/>
              <w:bottom w:val="outset" w:color="auto" w:sz="6" w:space="0"/>
              <w:right w:val="outset" w:color="auto" w:sz="6" w:space="0"/>
            </w:tcBorders>
            <w:shd w:val="clear"/>
            <w:vAlign w:val="center"/>
          </w:tcPr>
          <w:p w14:paraId="59C45941">
            <w:pPr>
              <w:rPr>
                <w:rFonts w:hint="eastAsia" w:ascii="宋体"/>
                <w:sz w:val="24"/>
                <w:szCs w:val="24"/>
              </w:rPr>
            </w:pPr>
          </w:p>
        </w:tc>
      </w:tr>
      <w:tr w14:paraId="7CAA4F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1010" w:type="dxa"/>
            <w:vMerge w:val="continue"/>
            <w:tcBorders>
              <w:top w:val="outset" w:color="auto" w:sz="6" w:space="0"/>
              <w:left w:val="outset" w:color="auto" w:sz="6" w:space="0"/>
              <w:bottom w:val="outset" w:color="auto" w:sz="6" w:space="0"/>
              <w:right w:val="outset" w:color="auto" w:sz="6" w:space="0"/>
            </w:tcBorders>
            <w:shd w:val="clear"/>
            <w:vAlign w:val="center"/>
          </w:tcPr>
          <w:p w14:paraId="5327D530">
            <w:pPr>
              <w:rPr>
                <w:rFonts w:hint="eastAsia" w:ascii="宋体"/>
                <w:sz w:val="24"/>
                <w:szCs w:val="24"/>
              </w:rPr>
            </w:pPr>
          </w:p>
        </w:tc>
        <w:tc>
          <w:tcPr>
            <w:tcW w:w="1820" w:type="dxa"/>
            <w:vMerge w:val="restart"/>
            <w:tcBorders>
              <w:top w:val="outset" w:color="auto" w:sz="6" w:space="0"/>
              <w:left w:val="outset" w:color="auto" w:sz="6" w:space="0"/>
              <w:bottom w:val="outset" w:color="auto" w:sz="6" w:space="0"/>
              <w:right w:val="outset" w:color="auto" w:sz="6" w:space="0"/>
            </w:tcBorders>
            <w:shd w:val="clear"/>
            <w:vAlign w:val="center"/>
          </w:tcPr>
          <w:p w14:paraId="71D5C96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不消毒</w:t>
            </w:r>
          </w:p>
        </w:tc>
        <w:tc>
          <w:tcPr>
            <w:tcW w:w="1900" w:type="dxa"/>
            <w:tcBorders>
              <w:top w:val="outset" w:color="auto" w:sz="6" w:space="0"/>
              <w:left w:val="outset" w:color="auto" w:sz="6" w:space="0"/>
              <w:bottom w:val="outset" w:color="auto" w:sz="6" w:space="0"/>
              <w:right w:val="outset" w:color="auto" w:sz="6" w:space="0"/>
            </w:tcBorders>
            <w:shd w:val="clear"/>
            <w:vAlign w:val="center"/>
          </w:tcPr>
          <w:p w14:paraId="260C68E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0.07床</w:t>
            </w:r>
          </w:p>
        </w:tc>
        <w:tc>
          <w:tcPr>
            <w:tcW w:w="3410" w:type="dxa"/>
            <w:vMerge w:val="continue"/>
            <w:tcBorders>
              <w:top w:val="outset" w:color="auto" w:sz="6" w:space="0"/>
              <w:left w:val="outset" w:color="auto" w:sz="6" w:space="0"/>
              <w:bottom w:val="outset" w:color="auto" w:sz="6" w:space="0"/>
              <w:right w:val="outset" w:color="auto" w:sz="6" w:space="0"/>
            </w:tcBorders>
            <w:shd w:val="clear"/>
            <w:vAlign w:val="center"/>
          </w:tcPr>
          <w:p w14:paraId="6062BC86">
            <w:pPr>
              <w:rPr>
                <w:rFonts w:hint="eastAsia" w:ascii="宋体"/>
                <w:sz w:val="24"/>
                <w:szCs w:val="24"/>
              </w:rPr>
            </w:pPr>
          </w:p>
        </w:tc>
      </w:tr>
      <w:tr w14:paraId="3F2552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1010" w:type="dxa"/>
            <w:vMerge w:val="continue"/>
            <w:tcBorders>
              <w:top w:val="outset" w:color="auto" w:sz="6" w:space="0"/>
              <w:left w:val="outset" w:color="auto" w:sz="6" w:space="0"/>
              <w:bottom w:val="outset" w:color="auto" w:sz="6" w:space="0"/>
              <w:right w:val="outset" w:color="auto" w:sz="6" w:space="0"/>
            </w:tcBorders>
            <w:shd w:val="clear"/>
            <w:vAlign w:val="center"/>
          </w:tcPr>
          <w:p w14:paraId="6375CF75">
            <w:pPr>
              <w:rPr>
                <w:rFonts w:hint="eastAsia" w:ascii="宋体"/>
                <w:sz w:val="24"/>
                <w:szCs w:val="24"/>
              </w:rPr>
            </w:pPr>
          </w:p>
        </w:tc>
        <w:tc>
          <w:tcPr>
            <w:tcW w:w="1820" w:type="dxa"/>
            <w:vMerge w:val="continue"/>
            <w:tcBorders>
              <w:top w:val="outset" w:color="auto" w:sz="6" w:space="0"/>
              <w:left w:val="outset" w:color="auto" w:sz="6" w:space="0"/>
              <w:bottom w:val="outset" w:color="auto" w:sz="6" w:space="0"/>
              <w:right w:val="outset" w:color="auto" w:sz="6" w:space="0"/>
            </w:tcBorders>
            <w:shd w:val="clear"/>
            <w:vAlign w:val="center"/>
          </w:tcPr>
          <w:p w14:paraId="5075DC03">
            <w:pPr>
              <w:rPr>
                <w:rFonts w:hint="eastAsia" w:ascii="宋体"/>
                <w:sz w:val="24"/>
                <w:szCs w:val="24"/>
              </w:rPr>
            </w:pPr>
          </w:p>
        </w:tc>
        <w:tc>
          <w:tcPr>
            <w:tcW w:w="1900" w:type="dxa"/>
            <w:tcBorders>
              <w:top w:val="outset" w:color="auto" w:sz="6" w:space="0"/>
              <w:left w:val="outset" w:color="auto" w:sz="6" w:space="0"/>
              <w:bottom w:val="outset" w:color="auto" w:sz="6" w:space="0"/>
              <w:right w:val="outset" w:color="auto" w:sz="6" w:space="0"/>
            </w:tcBorders>
            <w:shd w:val="clear"/>
            <w:vAlign w:val="center"/>
          </w:tcPr>
          <w:p w14:paraId="72AF89C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1.4吨污水</w:t>
            </w:r>
          </w:p>
        </w:tc>
        <w:tc>
          <w:tcPr>
            <w:tcW w:w="3410" w:type="dxa"/>
            <w:vMerge w:val="continue"/>
            <w:tcBorders>
              <w:top w:val="outset" w:color="auto" w:sz="6" w:space="0"/>
              <w:left w:val="outset" w:color="auto" w:sz="6" w:space="0"/>
              <w:bottom w:val="outset" w:color="auto" w:sz="6" w:space="0"/>
              <w:right w:val="outset" w:color="auto" w:sz="6" w:space="0"/>
            </w:tcBorders>
            <w:shd w:val="clear"/>
            <w:vAlign w:val="center"/>
          </w:tcPr>
          <w:p w14:paraId="3D5CD419">
            <w:pPr>
              <w:rPr>
                <w:rFonts w:hint="eastAsia" w:ascii="宋体"/>
                <w:sz w:val="24"/>
                <w:szCs w:val="24"/>
              </w:rPr>
            </w:pPr>
          </w:p>
        </w:tc>
      </w:tr>
    </w:tbl>
    <w:p w14:paraId="4D9D40E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200AE811">
      <w:pPr>
        <w:pStyle w:val="9"/>
        <w:keepNext w:val="0"/>
        <w:keepLines w:val="0"/>
        <w:widowControl/>
        <w:suppressLineNumbers w:val="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r>
        <w:rPr>
          <w:rStyle w:val="12"/>
          <w:rFonts w:hint="eastAsia" w:ascii="微软雅黑" w:hAnsi="微软雅黑" w:eastAsia="微软雅黑" w:cs="微软雅黑"/>
          <w:color w:val="333333"/>
          <w:sz w:val="27"/>
          <w:szCs w:val="27"/>
        </w:rPr>
        <w:t>五、大气污染物污染当量值</w:t>
      </w:r>
    </w:p>
    <w:tbl>
      <w:tblPr>
        <w:tblW w:w="824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4311"/>
        <w:gridCol w:w="3929"/>
      </w:tblGrid>
      <w:tr w14:paraId="2A3EBC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206803E4">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污　染　物</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4658FC7A">
            <w:pPr>
              <w:pStyle w:val="9"/>
              <w:keepNext w:val="0"/>
              <w:keepLines w:val="0"/>
              <w:widowControl/>
              <w:suppressLineNumbers w:val="0"/>
              <w:jc w:val="center"/>
              <w:rPr>
                <w:rFonts w:hint="eastAsia" w:ascii="微软雅黑" w:hAnsi="微软雅黑" w:eastAsia="微软雅黑" w:cs="微软雅黑"/>
                <w:color w:val="333333"/>
                <w:sz w:val="27"/>
                <w:szCs w:val="27"/>
              </w:rPr>
            </w:pPr>
            <w:r>
              <w:rPr>
                <w:rStyle w:val="12"/>
                <w:rFonts w:hint="eastAsia" w:ascii="微软雅黑" w:hAnsi="微软雅黑" w:eastAsia="微软雅黑" w:cs="微软雅黑"/>
                <w:color w:val="333333"/>
                <w:sz w:val="27"/>
                <w:szCs w:val="27"/>
              </w:rPr>
              <w:t>污染当量值（千克）</w:t>
            </w:r>
          </w:p>
        </w:tc>
      </w:tr>
      <w:tr w14:paraId="4994B3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2702E88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1.二氧化硫</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2AC4772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0.95</w:t>
            </w:r>
          </w:p>
        </w:tc>
      </w:tr>
      <w:tr w14:paraId="157F19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3A01B40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2.氮氧化物</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3937BB7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0.95</w:t>
            </w:r>
          </w:p>
        </w:tc>
      </w:tr>
      <w:tr w14:paraId="2C92F8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33D9082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3.一氧化碳</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3141944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16.7</w:t>
            </w:r>
          </w:p>
        </w:tc>
      </w:tr>
      <w:tr w14:paraId="6EFC60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61FA865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4.氯气</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5F98BF2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0.34</w:t>
            </w:r>
          </w:p>
        </w:tc>
      </w:tr>
      <w:tr w14:paraId="56E430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5386227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5.氯化氢</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38CCA55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10.75</w:t>
            </w:r>
          </w:p>
        </w:tc>
      </w:tr>
      <w:tr w14:paraId="6D9143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6121A26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6.氟化物</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0DCF10C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0.87</w:t>
            </w:r>
          </w:p>
        </w:tc>
      </w:tr>
      <w:tr w14:paraId="42DAEB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203560C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7.氰化氢</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35A980D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0.005</w:t>
            </w:r>
          </w:p>
        </w:tc>
      </w:tr>
      <w:tr w14:paraId="395FF0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08961E4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8.硫酸雾</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651C1CE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0.6</w:t>
            </w:r>
          </w:p>
        </w:tc>
      </w:tr>
      <w:tr w14:paraId="58CC9B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02BC36F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9.铬酸雾</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621E86E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0.0007</w:t>
            </w:r>
          </w:p>
        </w:tc>
      </w:tr>
      <w:tr w14:paraId="58789F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73F97ED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10.汞及其化合物</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670BF8E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0.0001</w:t>
            </w:r>
          </w:p>
        </w:tc>
      </w:tr>
      <w:tr w14:paraId="2FFB5A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174B54C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11.一般性粉尘</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72FE4AE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w:t>
            </w:r>
          </w:p>
        </w:tc>
      </w:tr>
      <w:tr w14:paraId="295B98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40BF377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12.石棉尘</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7C4732C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0.53</w:t>
            </w:r>
          </w:p>
        </w:tc>
      </w:tr>
      <w:tr w14:paraId="44EEE5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0D63DAE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13.玻璃棉尘</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71A9DE8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2.13</w:t>
            </w:r>
          </w:p>
        </w:tc>
      </w:tr>
      <w:tr w14:paraId="326495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7BBDF23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14.碳黑尘</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3890752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0.59</w:t>
            </w:r>
          </w:p>
        </w:tc>
      </w:tr>
      <w:tr w14:paraId="21CD37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0DD5B42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15.铅及其化合物</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672F650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0.02</w:t>
            </w:r>
          </w:p>
        </w:tc>
      </w:tr>
      <w:tr w14:paraId="6F4A6D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10CB54B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16.镉及其化合物</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72BD302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0.03</w:t>
            </w:r>
          </w:p>
        </w:tc>
      </w:tr>
      <w:tr w14:paraId="01C095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397EBDF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17.铍及其化合物</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3A45A79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0.0004</w:t>
            </w:r>
          </w:p>
        </w:tc>
      </w:tr>
      <w:tr w14:paraId="13966B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34D309AB">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18.镍及其化合物</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1B941E7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0.13</w:t>
            </w:r>
          </w:p>
        </w:tc>
      </w:tr>
      <w:tr w14:paraId="6B1A28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419EA6B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19.锡及其化合物</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37B87B4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0.27</w:t>
            </w:r>
          </w:p>
        </w:tc>
      </w:tr>
      <w:tr w14:paraId="23DF6D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3D2A4B0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20.烟尘</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645226D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2.18</w:t>
            </w:r>
          </w:p>
        </w:tc>
      </w:tr>
      <w:tr w14:paraId="2512D0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5076D4C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21.苯</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4855B21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0.05</w:t>
            </w:r>
          </w:p>
        </w:tc>
      </w:tr>
      <w:tr w14:paraId="0A17A2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699FFB1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22.甲苯</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18AAA4E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0.18</w:t>
            </w:r>
          </w:p>
        </w:tc>
      </w:tr>
      <w:tr w14:paraId="6B2D7D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1EF507A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23.二甲苯</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616A4DD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0.27</w:t>
            </w:r>
          </w:p>
        </w:tc>
      </w:tr>
      <w:tr w14:paraId="151DB9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65F3832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24.苯并（a）芘</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5A16A4E6">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0.000002</w:t>
            </w:r>
          </w:p>
        </w:tc>
      </w:tr>
      <w:tr w14:paraId="04F39D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20B9E59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25.甲醛</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3B957B1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0.09</w:t>
            </w:r>
          </w:p>
        </w:tc>
      </w:tr>
      <w:tr w14:paraId="5988EB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2C8C74E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26.乙醛</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5705BD3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0.45</w:t>
            </w:r>
          </w:p>
        </w:tc>
      </w:tr>
      <w:tr w14:paraId="1D35E8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312C257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27.丙烯醛</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587F165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0.06</w:t>
            </w:r>
          </w:p>
        </w:tc>
      </w:tr>
      <w:tr w14:paraId="42E505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6D3FA62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28.甲醇</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55833471">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0.67</w:t>
            </w:r>
          </w:p>
        </w:tc>
      </w:tr>
      <w:tr w14:paraId="1BAF76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2288FCC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29.酚类</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4A891D8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0.35</w:t>
            </w:r>
          </w:p>
        </w:tc>
      </w:tr>
      <w:tr w14:paraId="56FFDE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00941B0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30.沥青烟</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244276E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0.19</w:t>
            </w:r>
          </w:p>
        </w:tc>
      </w:tr>
      <w:tr w14:paraId="7B712E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5C71C8E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31.苯胺类</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173EEFB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0.21</w:t>
            </w:r>
          </w:p>
        </w:tc>
      </w:tr>
      <w:tr w14:paraId="76BEEF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7B165CC2">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32.氯苯类</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449A02C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0.72</w:t>
            </w:r>
          </w:p>
        </w:tc>
      </w:tr>
      <w:tr w14:paraId="145A53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5FBD7959">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33.硝基苯</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66283BBA">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0.17</w:t>
            </w:r>
          </w:p>
        </w:tc>
      </w:tr>
      <w:tr w14:paraId="6B98FE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5944FA6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34.丙烯腈</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7850404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0.22</w:t>
            </w:r>
          </w:p>
        </w:tc>
      </w:tr>
      <w:tr w14:paraId="6B9281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6FDA2FD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35.氯乙烯</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357DFBD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0.55</w:t>
            </w:r>
          </w:p>
        </w:tc>
      </w:tr>
      <w:tr w14:paraId="4D3D4B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1089601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36.光气</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5753AA8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0.04</w:t>
            </w:r>
          </w:p>
        </w:tc>
      </w:tr>
      <w:tr w14:paraId="673FE1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48D17A2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37.硫化氢</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40E2B59C">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0.29</w:t>
            </w:r>
          </w:p>
        </w:tc>
      </w:tr>
      <w:tr w14:paraId="0B803E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5CBB8E5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38.氨</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75874013">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9.09</w:t>
            </w:r>
          </w:p>
        </w:tc>
      </w:tr>
      <w:tr w14:paraId="469E30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566A453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39.三甲胺</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3447EBB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0.32</w:t>
            </w:r>
          </w:p>
        </w:tc>
      </w:tr>
      <w:tr w14:paraId="1AD1D3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5521AA8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40.甲硫醇</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1F76044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0.04</w:t>
            </w:r>
          </w:p>
        </w:tc>
      </w:tr>
      <w:tr w14:paraId="7E0A8E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0969CB64">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41.甲硫醚</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1F82BCF0">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0.28</w:t>
            </w:r>
          </w:p>
        </w:tc>
      </w:tr>
      <w:tr w14:paraId="09EA21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5D1D6037">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42.二甲二硫</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0677B658">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0.28</w:t>
            </w:r>
          </w:p>
        </w:tc>
      </w:tr>
      <w:tr w14:paraId="52F6CE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4132F10F">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43.苯乙烯</w:t>
            </w:r>
          </w:p>
        </w:tc>
        <w:tc>
          <w:tcPr>
            <w:tcW w:w="3900" w:type="dxa"/>
            <w:tcBorders>
              <w:top w:val="outset" w:color="auto" w:sz="6" w:space="0"/>
              <w:left w:val="outset" w:color="auto" w:sz="6" w:space="0"/>
              <w:bottom w:val="outset" w:color="auto" w:sz="6" w:space="0"/>
              <w:right w:val="outset" w:color="auto" w:sz="6" w:space="0"/>
            </w:tcBorders>
            <w:shd w:val="clear"/>
            <w:vAlign w:val="center"/>
          </w:tcPr>
          <w:p w14:paraId="795AA9F5">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25</w:t>
            </w:r>
          </w:p>
        </w:tc>
      </w:tr>
      <w:tr w14:paraId="700D3A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4290" w:type="dxa"/>
            <w:tcBorders>
              <w:top w:val="outset" w:color="auto" w:sz="6" w:space="0"/>
              <w:left w:val="outset" w:color="auto" w:sz="6" w:space="0"/>
              <w:bottom w:val="outset" w:color="auto" w:sz="6" w:space="0"/>
              <w:right w:val="outset" w:color="auto" w:sz="6" w:space="0"/>
            </w:tcBorders>
            <w:shd w:val="clear"/>
            <w:vAlign w:val="center"/>
          </w:tcPr>
          <w:p w14:paraId="31A7000E">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44.二硫化碳</w:t>
            </w:r>
          </w:p>
        </w:tc>
        <w:tc>
          <w:tcPr>
            <w:tcW w:w="3910" w:type="dxa"/>
            <w:tcBorders>
              <w:top w:val="outset" w:color="auto" w:sz="6" w:space="0"/>
              <w:left w:val="outset" w:color="auto" w:sz="6" w:space="0"/>
              <w:bottom w:val="outset" w:color="auto" w:sz="6" w:space="0"/>
              <w:right w:val="outset" w:color="auto" w:sz="6" w:space="0"/>
            </w:tcBorders>
            <w:shd w:val="clear"/>
            <w:vAlign w:val="center"/>
          </w:tcPr>
          <w:p w14:paraId="602580DD">
            <w:pPr>
              <w:pStyle w:val="9"/>
              <w:keepNext w:val="0"/>
              <w:keepLines w:val="0"/>
              <w:widowControl/>
              <w:suppressLineNumbers w:val="0"/>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20</w:t>
            </w:r>
          </w:p>
        </w:tc>
      </w:tr>
    </w:tbl>
    <w:p w14:paraId="61239C67">
      <w:pPr>
        <w:pStyle w:val="9"/>
        <w:keepNext w:val="0"/>
        <w:keepLines w:val="0"/>
        <w:widowControl/>
        <w:suppressLineNumbers w:val="0"/>
        <w:spacing w:before="0" w:beforeAutospacing="0" w:after="0" w:afterAutospacing="0"/>
        <w:ind w:left="0" w:right="0"/>
        <w:jc w:val="center"/>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 </w:t>
      </w:r>
    </w:p>
    <w:p w14:paraId="092BB91A">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"javascript:void(0)" </w:instrText>
      </w:r>
      <w:r>
        <w:rPr>
          <w:rFonts w:ascii="宋体" w:hAnsi="宋体" w:eastAsia="宋体" w:cs="宋体"/>
          <w:vanish/>
          <w:sz w:val="24"/>
          <w:szCs w:val="24"/>
        </w:rPr>
        <w:fldChar w:fldCharType="separate"/>
      </w:r>
      <w:r>
        <w:rPr>
          <w:rStyle w:val="13"/>
          <w:rFonts w:ascii="宋体" w:hAnsi="宋体" w:eastAsia="宋体" w:cs="宋体"/>
          <w:vanish/>
          <w:sz w:val="24"/>
          <w:szCs w:val="24"/>
        </w:rPr>
        <w:drawing>
          <wp:inline distT="0" distB="0" distL="114300" distR="114300">
            <wp:extent cx="361950" cy="333375"/>
            <wp:effectExtent l="0" t="0" r="6350"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link="rId5"/>
                    <a:stretch>
                      <a:fillRect/>
                    </a:stretch>
                  </pic:blipFill>
                  <pic:spPr>
                    <a:xfrm>
                      <a:off x="0" y="0"/>
                      <a:ext cx="361950" cy="333375"/>
                    </a:xfrm>
                    <a:prstGeom prst="rect">
                      <a:avLst/>
                    </a:prstGeom>
                    <a:noFill/>
                    <a:ln w="9525">
                      <a:noFill/>
                    </a:ln>
                  </pic:spPr>
                </pic:pic>
              </a:graphicData>
            </a:graphic>
          </wp:inline>
        </w:drawing>
      </w:r>
      <w:r>
        <w:rPr>
          <w:rStyle w:val="13"/>
          <w:rFonts w:ascii="宋体" w:hAnsi="宋体" w:eastAsia="宋体" w:cs="宋体"/>
          <w:vanish/>
          <w:sz w:val="24"/>
          <w:szCs w:val="24"/>
        </w:rPr>
        <w:t>【打印】</w:t>
      </w:r>
      <w:r>
        <w:rPr>
          <w:rFonts w:ascii="宋体" w:hAnsi="宋体" w:eastAsia="宋体" w:cs="宋体"/>
          <w:vanish/>
          <w:sz w:val="24"/>
          <w:szCs w:val="24"/>
        </w:rPr>
        <w:fldChar w:fldCharType="end"/>
      </w:r>
      <w:r>
        <w:rPr>
          <w:rFonts w:ascii="宋体" w:hAnsi="宋体" w:eastAsia="宋体" w:cs="宋体"/>
          <w:sz w:val="24"/>
          <w:szCs w:val="24"/>
        </w:rPr>
        <w:t xml:space="preserve"> </w:t>
      </w:r>
    </w:p>
    <w:p w14:paraId="1D378BD4">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 </w:instrText>
      </w:r>
      <w:r>
        <w:rPr>
          <w:rFonts w:ascii="宋体" w:hAnsi="宋体" w:eastAsia="宋体" w:cs="宋体"/>
          <w:vanish/>
          <w:sz w:val="24"/>
          <w:szCs w:val="24"/>
        </w:rPr>
        <w:fldChar w:fldCharType="separate"/>
      </w:r>
      <w:r>
        <w:rPr>
          <w:rStyle w:val="13"/>
          <w:rFonts w:ascii="宋体" w:hAnsi="宋体" w:eastAsia="宋体" w:cs="宋体"/>
          <w:vanish/>
          <w:sz w:val="24"/>
          <w:szCs w:val="24"/>
        </w:rPr>
        <w:drawing>
          <wp:inline distT="0" distB="0" distL="114300" distR="114300">
            <wp:extent cx="361950" cy="333375"/>
            <wp:effectExtent l="0" t="0" r="6350" b="952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link="rId6"/>
                    <a:stretch>
                      <a:fillRect/>
                    </a:stretch>
                  </pic:blipFill>
                  <pic:spPr>
                    <a:xfrm>
                      <a:off x="0" y="0"/>
                      <a:ext cx="361950" cy="333375"/>
                    </a:xfrm>
                    <a:prstGeom prst="rect">
                      <a:avLst/>
                    </a:prstGeom>
                    <a:noFill/>
                    <a:ln w="9525">
                      <a:noFill/>
                    </a:ln>
                  </pic:spPr>
                </pic:pic>
              </a:graphicData>
            </a:graphic>
          </wp:inline>
        </w:drawing>
      </w:r>
      <w:r>
        <w:rPr>
          <w:rStyle w:val="13"/>
          <w:rFonts w:ascii="宋体" w:hAnsi="宋体" w:eastAsia="宋体" w:cs="宋体"/>
          <w:vanish/>
          <w:sz w:val="24"/>
          <w:szCs w:val="24"/>
        </w:rPr>
        <w:t xml:space="preserve">【下载】 </w:t>
      </w:r>
      <w:r>
        <w:rPr>
          <w:rFonts w:ascii="宋体" w:hAnsi="宋体" w:eastAsia="宋体" w:cs="宋体"/>
          <w:vanish/>
          <w:sz w:val="24"/>
          <w:szCs w:val="24"/>
        </w:rPr>
        <w:fldChar w:fldCharType="end"/>
      </w:r>
    </w:p>
    <w:p w14:paraId="79E4C02F">
      <w:pPr>
        <w:keepNext w:val="0"/>
        <w:keepLines w:val="0"/>
        <w:widowControl/>
        <w:suppressLineNumbers w:val="0"/>
        <w:jc w:val="left"/>
        <w:rPr>
          <w:vanish/>
        </w:rPr>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"http://hd.chinatax.gov.cn/fuwu/jiucuo.html" \t "_blank" </w:instrText>
      </w:r>
      <w:r>
        <w:rPr>
          <w:rFonts w:ascii="宋体" w:hAnsi="宋体" w:eastAsia="宋体" w:cs="宋体"/>
          <w:vanish/>
          <w:sz w:val="24"/>
          <w:szCs w:val="24"/>
        </w:rPr>
        <w:fldChar w:fldCharType="separate"/>
      </w:r>
      <w:r>
        <w:rPr>
          <w:rStyle w:val="13"/>
          <w:rFonts w:ascii="宋体" w:hAnsi="宋体" w:eastAsia="宋体" w:cs="宋体"/>
          <w:vanish/>
          <w:sz w:val="24"/>
          <w:szCs w:val="24"/>
        </w:rPr>
        <w:t>纠错或建议</w:t>
      </w:r>
      <w:r>
        <w:rPr>
          <w:rFonts w:ascii="宋体" w:hAnsi="宋体" w:eastAsia="宋体" w:cs="宋体"/>
          <w:vanish/>
          <w:sz w:val="24"/>
          <w:szCs w:val="24"/>
        </w:rPr>
        <w:fldChar w:fldCharType="end"/>
      </w:r>
      <w:r>
        <w:rPr>
          <w:rFonts w:ascii="宋体" w:hAnsi="宋体" w:eastAsia="宋体" w:cs="宋体"/>
          <w:vanish/>
          <w:sz w:val="24"/>
          <w:szCs w:val="24"/>
        </w:rPr>
        <w:t xml:space="preserve"> </w:t>
      </w:r>
    </w:p>
    <w:sectPr>
      <w:pgSz w:w="11906" w:h="16839"/>
      <w:pgMar w:top="1440" w:right="1800" w:bottom="1440" w:left="180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A541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EastAsia" w:hAnsiTheme="minorEastAsia" w:eastAsiaTheme="minorEastAsia" w:cstheme="minorEastAsia"/>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pBdr>
        <w:bottom w:val="none" w:color="auto" w:sz="0" w:space="0"/>
      </w:pBdr>
      <w:spacing w:before="0" w:beforeAutospacing="1" w:after="0" w:afterAutospacing="1" w:line="600" w:lineRule="atLeast"/>
      <w:jc w:val="center"/>
    </w:pPr>
    <w:rPr>
      <w:rFonts w:hint="eastAsia" w:ascii="宋体" w:hAnsi="宋体" w:eastAsia="宋体" w:cs="宋体"/>
      <w:b/>
      <w:bCs/>
      <w:color w:val="323534"/>
      <w:kern w:val="0"/>
      <w:sz w:val="24"/>
      <w:szCs w:val="24"/>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7">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iPriority w:val="0"/>
    <w:pPr>
      <w:spacing w:before="0" w:beforeAutospacing="1" w:after="0" w:afterAutospacing="1"/>
      <w:ind w:left="0" w:right="0"/>
      <w:jc w:val="left"/>
    </w:pPr>
    <w:rPr>
      <w:rFonts w:ascii="微软雅黑" w:hAnsi="微软雅黑" w:eastAsia="微软雅黑" w:cs="微软雅黑"/>
      <w:color w:val="333333"/>
      <w:kern w:val="0"/>
      <w:sz w:val="27"/>
      <w:szCs w:val="27"/>
      <w:lang w:val="en-US" w:eastAsia="zh-CN" w:bidi="ar"/>
    </w:rPr>
  </w:style>
  <w:style w:type="character" w:styleId="12">
    <w:name w:val="Strong"/>
    <w:basedOn w:val="11"/>
    <w:qFormat/>
    <w:uiPriority w:val="0"/>
    <w:rPr>
      <w:b/>
    </w:rPr>
  </w:style>
  <w:style w:type="character" w:styleId="13">
    <w:name w:val="Hyperlink"/>
    <w:basedOn w:val="11"/>
    <w:uiPriority w:val="0"/>
    <w:rPr>
      <w:color w:val="0000FF"/>
      <w:u w:val="single"/>
    </w:rPr>
  </w:style>
  <w:style w:type="paragraph" w:customStyle="1" w:styleId="14">
    <w:name w:val="share"/>
    <w:basedOn w:val="1"/>
    <w:uiPriority w:val="0"/>
    <w:pPr>
      <w:jc w:val="left"/>
    </w:pPr>
    <w:rPr>
      <w:vanish/>
      <w:kern w:val="0"/>
      <w:lang w:val="en-US" w:eastAsia="zh-CN" w:bidi="ar"/>
    </w:rPr>
  </w:style>
  <w:style w:type="paragraph" w:customStyle="1" w:styleId="15">
    <w:name w:val="jcjy"/>
    <w:basedOn w:val="1"/>
    <w:uiPriority w:val="0"/>
    <w:pPr>
      <w:jc w:val="left"/>
    </w:pPr>
    <w:rPr>
      <w:vanish/>
      <w:kern w:val="0"/>
      <w:lang w:val="en-US" w:eastAsia="zh-CN" w:bidi="ar"/>
    </w:rPr>
  </w:style>
  <w:style w:type="paragraph" w:customStyle="1" w:styleId="16">
    <w:name w:val="gzh"/>
    <w:basedOn w:val="1"/>
    <w:uiPriority w:val="0"/>
    <w:pPr>
      <w:jc w:val="center"/>
    </w:pPr>
    <w:rPr>
      <w:kern w:val="0"/>
      <w:lang w:val="en-US" w:eastAsia="zh-CN" w:bidi="ar"/>
    </w:rPr>
  </w:style>
  <w:style w:type="paragraph" w:customStyle="1" w:styleId="17">
    <w:name w:val="arc_date"/>
    <w:basedOn w:val="1"/>
    <w:uiPriority w:val="0"/>
    <w:pPr>
      <w:spacing w:before="0" w:beforeAutospacing="0" w:line="400" w:lineRule="atLeast"/>
      <w:jc w:val="right"/>
    </w:pPr>
    <w:rPr>
      <w:kern w:val="0"/>
      <w:lang w:val="en-US" w:eastAsia="zh-CN" w:bidi="ar"/>
    </w:rPr>
  </w:style>
  <w:style w:type="paragraph" w:customStyle="1" w:styleId="18">
    <w:name w:val="wechat-qrcode"/>
    <w:basedOn w:val="1"/>
    <w:uiPriority w:val="0"/>
    <w:pPr>
      <w:jc w:val="left"/>
    </w:pPr>
    <w:rPr>
      <w:vanish/>
      <w:kern w:val="0"/>
      <w:lang w:val="en-US" w:eastAsia="zh-CN" w:bidi="ar"/>
    </w:rPr>
  </w:style>
  <w:style w:type="paragraph" w:customStyle="1" w:styleId="19">
    <w:name w:val="func"/>
    <w:basedOn w:val="1"/>
    <w:uiPriority w:val="0"/>
    <w:pPr>
      <w:jc w:val="left"/>
    </w:pPr>
    <w:rPr>
      <w:vanish/>
      <w:kern w:val="0"/>
      <w:lang w:val="en-US" w:eastAsia="zh-CN" w:bidi="ar"/>
    </w:rPr>
  </w:style>
  <w:style w:type="paragraph" w:customStyle="1" w:styleId="20">
    <w:name w:val="sets"/>
    <w:basedOn w:val="1"/>
    <w:uiPriority w:val="0"/>
    <w:pPr>
      <w:jc w:val="left"/>
    </w:pPr>
    <w:rPr>
      <w:vanish/>
      <w:kern w:val="0"/>
      <w:lang w:val="en-US" w:eastAsia="zh-CN" w:bidi="ar"/>
    </w:rPr>
  </w:style>
  <w:style w:type="paragraph" w:customStyle="1" w:styleId="21">
    <w:name w:val="tl"/>
    <w:basedOn w:val="1"/>
    <w:uiPriority w:val="0"/>
    <w:pPr>
      <w:shd w:val="clear" w:fill="D9E5F9"/>
      <w:spacing w:line="400" w:lineRule="atLeast"/>
      <w:ind w:firstLine="300"/>
      <w:jc w:val="left"/>
    </w:pPr>
    <w:rPr>
      <w:b/>
      <w:bCs/>
      <w:color w:val="35569D"/>
      <w:kern w:val="0"/>
      <w:sz w:val="18"/>
      <w:szCs w:val="18"/>
      <w:lang w:val="en-US" w:eastAsia="zh-CN" w:bidi="ar"/>
    </w:rPr>
  </w:style>
  <w:style w:type="paragraph" w:customStyle="1" w:styleId="22">
    <w:name w:val="num_fs"/>
    <w:basedOn w:val="1"/>
    <w:uiPriority w:val="0"/>
    <w:pPr>
      <w:jc w:val="left"/>
    </w:pPr>
    <w:rPr>
      <w:vanish/>
      <w:kern w:val="0"/>
      <w:lang w:val="en-US" w:eastAsia="zh-CN" w:bidi="ar"/>
    </w:rPr>
  </w:style>
  <w:style w:type="paragraph" w:customStyle="1" w:styleId="23">
    <w:name w:val="actfwzh"/>
    <w:basedOn w:val="1"/>
    <w:uiPriority w:val="0"/>
    <w:pPr>
      <w:spacing w:before="150" w:beforeAutospacing="0" w:after="150" w:afterAutospacing="0"/>
      <w:jc w:val="center"/>
    </w:pPr>
    <w:rPr>
      <w:color w:val="000000"/>
      <w:kern w:val="0"/>
      <w:sz w:val="18"/>
      <w:szCs w:val="18"/>
      <w:lang w:val="en-US" w:eastAsia="zh-CN" w:bidi="ar"/>
    </w:rPr>
  </w:style>
  <w:style w:type="paragraph" w:customStyle="1" w:styleId="24">
    <w:name w:val="xg"/>
    <w:basedOn w:val="1"/>
    <w:uiPriority w:val="0"/>
    <w:pPr>
      <w:jc w:val="left"/>
    </w:pPr>
    <w:rPr>
      <w:kern w:val="0"/>
      <w:lang w:val="en-US" w:eastAsia="zh-CN" w:bidi="ar"/>
    </w:rPr>
  </w:style>
  <w:style w:type="character" w:customStyle="1" w:styleId="25">
    <w:name w:val="xg1"/>
    <w:basedOn w:val="1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https://fgk.chinatax.gov.cn/zcfgk/xhtml/images/downlod.png" TargetMode="External"/><Relationship Id="rId5" Type="http://schemas.openxmlformats.org/officeDocument/2006/relationships/image" Target="https://fgk.chinatax.gov.cn/zcfgk/xhtml/images/print.jpg" TargetMode="Externa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4212</Words>
  <Characters>4286</Characters>
  <TotalTime>0</TotalTime>
  <ScaleCrop>false</ScaleCrop>
  <LinksUpToDate>false</LinksUpToDate>
  <CharactersWithSpaces>4348</CharactersWithSpaces>
  <Application>WPS Office_12.1.0.25860_F1E327BC-269C-435d-A152-05C5408002CA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2026-05-13T03:10:53Z</dcterms:created>
  <dc:creator>Administrator</dc:creator>
  <cp:lastModifiedBy>众米财税</cp:lastModifiedBy>
  <dcterms:modified xsi:type="dcterms:W3CDTF">2026-05-13T03:11:03Z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7455EFFF515042B29CA13239570E228D_13</vt:lpwstr>
  </property>
</Properties>
</file>